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754"/>
      </w:tblGrid>
      <w:tr w:rsidR="00D040B9" w14:paraId="1E724EF0" w14:textId="77777777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14:paraId="598A01C2" w14:textId="77777777"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B3BB72" wp14:editId="222AF389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14:paraId="52E0D980" w14:textId="77777777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14:paraId="224B1066" w14:textId="77777777"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proofErr w:type="gramStart"/>
            <w:r>
              <w:rPr>
                <w:b/>
                <w:spacing w:val="50"/>
                <w:sz w:val="46"/>
              </w:rPr>
              <w:t>Р</w:t>
            </w:r>
            <w:proofErr w:type="gramEnd"/>
            <w:r>
              <w:rPr>
                <w:b/>
                <w:spacing w:val="50"/>
                <w:sz w:val="46"/>
              </w:rPr>
              <w:t xml:space="preserve"> А С П О Р Я Ж Е Н И Е</w:t>
            </w:r>
          </w:p>
          <w:p w14:paraId="34C0F046" w14:textId="2AD985DA"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F76E83">
              <w:rPr>
                <w:szCs w:val="28"/>
              </w:rPr>
              <w:t>СЕЛЬСКОГО ПОСЕЛЕНИЯ НОВОЧЕРКУТИНСКИЙ</w:t>
            </w:r>
            <w:r w:rsidR="00F43BB0" w:rsidRPr="00F43BB0">
              <w:rPr>
                <w:szCs w:val="28"/>
              </w:rPr>
              <w:t xml:space="preserve"> 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14:paraId="68CE7163" w14:textId="77777777" w:rsidR="00953DC6" w:rsidRPr="00953DC6" w:rsidRDefault="00953DC6" w:rsidP="00953DC6"/>
        </w:tc>
      </w:tr>
      <w:tr w:rsidR="00D040B9" w14:paraId="71278B33" w14:textId="77777777" w:rsidTr="00D040B9">
        <w:tc>
          <w:tcPr>
            <w:tcW w:w="3125" w:type="dxa"/>
            <w:hideMark/>
          </w:tcPr>
          <w:p w14:paraId="1704EAFB" w14:textId="4E579498" w:rsidR="00D040B9" w:rsidRDefault="00F76E83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</w:rPr>
            </w:pPr>
            <w:r>
              <w:rPr>
                <w:spacing w:val="-10"/>
                <w:sz w:val="32"/>
              </w:rPr>
              <w:t>27.02.2024 г.</w:t>
            </w:r>
          </w:p>
        </w:tc>
        <w:tc>
          <w:tcPr>
            <w:tcW w:w="3125" w:type="dxa"/>
            <w:hideMark/>
          </w:tcPr>
          <w:p w14:paraId="32B74CBE" w14:textId="242FAEEA" w:rsidR="00D040B9" w:rsidRPr="00953DC6" w:rsidRDefault="00953DC6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>
              <w:rPr>
                <w:sz w:val="18"/>
              </w:rPr>
              <w:t xml:space="preserve">     </w:t>
            </w:r>
            <w:r w:rsidR="00937859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 </w:t>
            </w:r>
            <w:r w:rsidR="00F76E83">
              <w:t>с.Новочеркутино</w:t>
            </w:r>
            <w:r w:rsidR="00D040B9" w:rsidRPr="00953DC6">
              <w:t xml:space="preserve"> </w:t>
            </w:r>
          </w:p>
        </w:tc>
        <w:tc>
          <w:tcPr>
            <w:tcW w:w="3754" w:type="dxa"/>
            <w:hideMark/>
          </w:tcPr>
          <w:p w14:paraId="3D07D949" w14:textId="7CE71762" w:rsidR="00D040B9" w:rsidRDefault="00D040B9">
            <w:pPr>
              <w:spacing w:before="120" w:line="240" w:lineRule="atLeast"/>
              <w:ind w:right="57" w:firstLine="21"/>
              <w:jc w:val="center"/>
              <w:rPr>
                <w:sz w:val="32"/>
              </w:rPr>
            </w:pPr>
            <w:r>
              <w:rPr>
                <w:sz w:val="22"/>
              </w:rPr>
              <w:t>№</w:t>
            </w:r>
            <w:r w:rsidR="00F76E83">
              <w:rPr>
                <w:sz w:val="32"/>
              </w:rPr>
              <w:t xml:space="preserve"> 5-р</w:t>
            </w:r>
          </w:p>
        </w:tc>
      </w:tr>
    </w:tbl>
    <w:p w14:paraId="151420E3" w14:textId="77777777" w:rsidR="00D040B9" w:rsidRDefault="00D040B9" w:rsidP="00D040B9"/>
    <w:p w14:paraId="403E5398" w14:textId="77777777" w:rsidR="00D040B9" w:rsidRDefault="00D040B9" w:rsidP="00D040B9">
      <w:pPr>
        <w:rPr>
          <w:sz w:val="28"/>
          <w:szCs w:val="28"/>
        </w:rPr>
      </w:pPr>
    </w:p>
    <w:p w14:paraId="54720F8C" w14:textId="10B5B680" w:rsidR="00D040B9" w:rsidRDefault="00D040B9" w:rsidP="00C1140C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680A">
        <w:rPr>
          <w:sz w:val="28"/>
          <w:szCs w:val="28"/>
        </w:rPr>
        <w:t xml:space="preserve">б </w:t>
      </w:r>
      <w:proofErr w:type="gramStart"/>
      <w:r w:rsidR="001C680A">
        <w:rPr>
          <w:sz w:val="28"/>
          <w:szCs w:val="28"/>
        </w:rPr>
        <w:t>утверждении</w:t>
      </w:r>
      <w:proofErr w:type="gramEnd"/>
      <w:r w:rsidR="001C680A">
        <w:rPr>
          <w:sz w:val="28"/>
          <w:szCs w:val="28"/>
        </w:rPr>
        <w:t xml:space="preserve"> </w:t>
      </w:r>
      <w:r w:rsidR="007030EE" w:rsidRPr="007030EE">
        <w:rPr>
          <w:sz w:val="28"/>
          <w:szCs w:val="28"/>
        </w:rPr>
        <w:t>Доклад</w:t>
      </w:r>
      <w:r w:rsidR="007030EE">
        <w:rPr>
          <w:sz w:val="28"/>
          <w:szCs w:val="28"/>
        </w:rPr>
        <w:t>а</w:t>
      </w:r>
      <w:r w:rsidR="007030EE" w:rsidRPr="007030EE">
        <w:rPr>
          <w:sz w:val="28"/>
          <w:szCs w:val="28"/>
        </w:rPr>
        <w:t xml:space="preserve"> о правоприменительной практике 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при осуществлении муниципального контроля в сфере благоустройства на территории се</w:t>
      </w:r>
      <w:r w:rsidR="00F76E83">
        <w:rPr>
          <w:sz w:val="28"/>
          <w:szCs w:val="28"/>
        </w:rPr>
        <w:t xml:space="preserve">льского поселения Новочеркутинский </w:t>
      </w:r>
      <w:r w:rsidR="00F43BB0" w:rsidRPr="00F43BB0">
        <w:rPr>
          <w:sz w:val="28"/>
          <w:szCs w:val="28"/>
        </w:rPr>
        <w:t>сельсовет Добринского муниципального района Липецкой области в 202</w:t>
      </w:r>
      <w:r w:rsidR="00E865EC">
        <w:rPr>
          <w:sz w:val="28"/>
          <w:szCs w:val="28"/>
        </w:rPr>
        <w:t>3</w:t>
      </w:r>
      <w:r w:rsidR="00F43BB0" w:rsidRPr="00F43BB0">
        <w:rPr>
          <w:sz w:val="28"/>
          <w:szCs w:val="28"/>
        </w:rPr>
        <w:t xml:space="preserve"> году</w:t>
      </w:r>
    </w:p>
    <w:p w14:paraId="2F4B328C" w14:textId="5C22BA90" w:rsidR="001C680A" w:rsidRPr="001C680A" w:rsidRDefault="001C680A" w:rsidP="00C1140C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14:paraId="2EDD139E" w14:textId="05A0DB8E"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Утвердить Доклад </w:t>
      </w:r>
      <w:r w:rsidR="007030EE" w:rsidRPr="007030EE">
        <w:rPr>
          <w:sz w:val="28"/>
          <w:szCs w:val="28"/>
        </w:rPr>
        <w:t xml:space="preserve">о правоприменительной практике </w:t>
      </w:r>
      <w:r w:rsidR="00F43BB0" w:rsidRPr="00E865EC">
        <w:rPr>
          <w:sz w:val="28"/>
          <w:szCs w:val="28"/>
        </w:rPr>
        <w:t>при осуществлении муниципального контроля в сфере благоустройства на территории се</w:t>
      </w:r>
      <w:r w:rsidR="00F76E83">
        <w:rPr>
          <w:sz w:val="28"/>
          <w:szCs w:val="28"/>
        </w:rPr>
        <w:t>льского поселения Новочеркутинский</w:t>
      </w:r>
      <w:r w:rsidR="00F43BB0" w:rsidRPr="00E865EC">
        <w:rPr>
          <w:sz w:val="28"/>
          <w:szCs w:val="28"/>
        </w:rPr>
        <w:t xml:space="preserve"> сельсовет Добринского муниципального района Липецкой области в 202</w:t>
      </w:r>
      <w:r w:rsidR="00E865EC" w:rsidRPr="00E865EC">
        <w:rPr>
          <w:sz w:val="28"/>
          <w:szCs w:val="28"/>
        </w:rPr>
        <w:t>3</w:t>
      </w:r>
      <w:r w:rsidR="00F43BB0" w:rsidRPr="00E865EC">
        <w:rPr>
          <w:sz w:val="28"/>
          <w:szCs w:val="28"/>
        </w:rPr>
        <w:t xml:space="preserve"> году</w:t>
      </w:r>
      <w:r w:rsidR="00C1140C">
        <w:rPr>
          <w:sz w:val="28"/>
          <w:szCs w:val="28"/>
        </w:rPr>
        <w:t xml:space="preserve"> (прилагается)</w:t>
      </w:r>
      <w:r w:rsidRPr="00E865EC">
        <w:rPr>
          <w:sz w:val="28"/>
          <w:szCs w:val="28"/>
        </w:rPr>
        <w:t>.</w:t>
      </w:r>
    </w:p>
    <w:p w14:paraId="11B57916" w14:textId="0D3892BE"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Разместить</w:t>
      </w:r>
      <w:proofErr w:type="gramEnd"/>
      <w:r w:rsidRPr="00E865EC"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F76E83">
        <w:rPr>
          <w:sz w:val="28"/>
          <w:szCs w:val="28"/>
        </w:rPr>
        <w:t>сельского поселения Новочеркутинский</w:t>
      </w:r>
      <w:r w:rsidR="00E865EC">
        <w:rPr>
          <w:sz w:val="28"/>
          <w:szCs w:val="28"/>
        </w:rPr>
        <w:t xml:space="preserve"> сельсовет </w:t>
      </w:r>
      <w:r w:rsidRPr="00E865EC">
        <w:rPr>
          <w:sz w:val="28"/>
          <w:szCs w:val="28"/>
        </w:rPr>
        <w:t>Добринского муниципального района в информационно-телекоммуникационной сети «Интернет».</w:t>
      </w:r>
    </w:p>
    <w:p w14:paraId="7E7B348A" w14:textId="77777777"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>Распоряжение вступает в силу со дня его подписания.</w:t>
      </w:r>
    </w:p>
    <w:p w14:paraId="561AC998" w14:textId="5C9941B9" w:rsidR="00D040B9" w:rsidRPr="00E865EC" w:rsidRDefault="00D040B9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Контроль за</w:t>
      </w:r>
      <w:proofErr w:type="gramEnd"/>
      <w:r w:rsidRPr="00E865EC">
        <w:rPr>
          <w:sz w:val="28"/>
          <w:szCs w:val="28"/>
        </w:rPr>
        <w:t xml:space="preserve"> исполнением настоящего распоряжения </w:t>
      </w:r>
      <w:r w:rsidR="00F43BB0" w:rsidRPr="00E865EC">
        <w:rPr>
          <w:sz w:val="28"/>
          <w:szCs w:val="28"/>
        </w:rPr>
        <w:t>оставляю за собой</w:t>
      </w:r>
      <w:r w:rsidR="001C680A" w:rsidRPr="00E865EC">
        <w:rPr>
          <w:sz w:val="28"/>
          <w:szCs w:val="28"/>
        </w:rPr>
        <w:t>.</w:t>
      </w:r>
    </w:p>
    <w:p w14:paraId="5CB4A8FB" w14:textId="77777777"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9C37A14" w14:textId="77777777"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14:paraId="7B2F2362" w14:textId="577094D8" w:rsidR="00F43BB0" w:rsidRDefault="00F76E83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Новочеркутинский</w:t>
      </w:r>
      <w:r w:rsidR="00F43BB0">
        <w:rPr>
          <w:sz w:val="28"/>
          <w:szCs w:val="28"/>
        </w:rPr>
        <w:t xml:space="preserve"> сельсовет</w:t>
      </w:r>
    </w:p>
    <w:p w14:paraId="5A6D69CD" w14:textId="150B1988"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F76E83">
        <w:rPr>
          <w:sz w:val="28"/>
          <w:szCs w:val="28"/>
        </w:rPr>
        <w:t xml:space="preserve">                     Е.Е.Зюзина.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80B969" w14:textId="77777777"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14:paraId="0F55C61E" w14:textId="77777777" w:rsidR="001C680A" w:rsidRDefault="001C680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14:paraId="689E1F9F" w14:textId="77777777" w:rsidR="00F43BB0" w:rsidRDefault="00F43BB0" w:rsidP="00D040B9"/>
    <w:p w14:paraId="153015D8" w14:textId="40F14B43" w:rsidR="00F43BB0" w:rsidRDefault="00F43BB0" w:rsidP="00D040B9">
      <w:proofErr w:type="spellStart"/>
      <w:r>
        <w:t>Исп</w:t>
      </w:r>
      <w:proofErr w:type="gramStart"/>
      <w:r>
        <w:t>.</w:t>
      </w:r>
      <w:r w:rsidR="00F76E83">
        <w:t>Л</w:t>
      </w:r>
      <w:proofErr w:type="gramEnd"/>
      <w:r w:rsidR="00F76E83">
        <w:t>укина</w:t>
      </w:r>
      <w:proofErr w:type="spellEnd"/>
      <w:r w:rsidR="00F76E83">
        <w:t xml:space="preserve"> </w:t>
      </w:r>
      <w:proofErr w:type="spellStart"/>
      <w:r w:rsidR="00F76E83">
        <w:t>Е.П.тел</w:t>
      </w:r>
      <w:proofErr w:type="spellEnd"/>
      <w:r w:rsidR="00F76E83">
        <w:t>.(47462) 43-3-10.</w:t>
      </w:r>
    </w:p>
    <w:p w14:paraId="1D6941E0" w14:textId="77777777" w:rsidR="003B45C0" w:rsidRDefault="00F43BB0" w:rsidP="003B45C0">
      <w:pPr>
        <w:spacing w:line="271" w:lineRule="auto"/>
        <w:ind w:left="5103"/>
        <w:contextualSpacing/>
        <w:rPr>
          <w:b/>
          <w:sz w:val="28"/>
          <w:szCs w:val="28"/>
        </w:rPr>
      </w:pPr>
      <w:r>
        <w:lastRenderedPageBreak/>
        <w:t xml:space="preserve"> </w:t>
      </w:r>
    </w:p>
    <w:p w14:paraId="6A10DE1A" w14:textId="77777777" w:rsidR="003B45C0" w:rsidRDefault="003B45C0" w:rsidP="003B45C0">
      <w:pPr>
        <w:spacing w:line="271" w:lineRule="auto"/>
        <w:ind w:left="510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24258056" w14:textId="77777777" w:rsidR="003B45C0" w:rsidRDefault="003B45C0" w:rsidP="003B45C0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распоряжению администрации сельского поселения Новочеркутинский сельсовет Добринского муниципального района Липецкой области </w:t>
      </w:r>
    </w:p>
    <w:p w14:paraId="4DB92481" w14:textId="77777777" w:rsidR="003B45C0" w:rsidRDefault="003B45C0" w:rsidP="003B45C0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5-р от 27.02. 2024г.</w:t>
      </w:r>
    </w:p>
    <w:p w14:paraId="52BA4AB8" w14:textId="77777777" w:rsidR="003B45C0" w:rsidRDefault="003B45C0" w:rsidP="003B45C0">
      <w:pPr>
        <w:jc w:val="right"/>
        <w:rPr>
          <w:b/>
          <w:sz w:val="28"/>
          <w:szCs w:val="28"/>
        </w:rPr>
      </w:pPr>
    </w:p>
    <w:p w14:paraId="4FD15739" w14:textId="77777777" w:rsidR="003B45C0" w:rsidRDefault="003B45C0" w:rsidP="003B45C0">
      <w:pPr>
        <w:jc w:val="right"/>
        <w:rPr>
          <w:b/>
          <w:sz w:val="28"/>
          <w:szCs w:val="28"/>
        </w:rPr>
      </w:pPr>
    </w:p>
    <w:p w14:paraId="2D0C1281" w14:textId="77777777" w:rsidR="003B45C0" w:rsidRDefault="003B45C0" w:rsidP="003B45C0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ДОКЛАД</w:t>
      </w:r>
    </w:p>
    <w:p w14:paraId="432EAED0" w14:textId="77777777" w:rsidR="003B45C0" w:rsidRDefault="003B45C0" w:rsidP="003B45C0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ПРАВОПРИМЕНИТЕЛЬНОЙ ПРАКТИКЕ</w:t>
      </w:r>
    </w:p>
    <w:p w14:paraId="70F53421" w14:textId="77777777" w:rsidR="003B45C0" w:rsidRDefault="003B45C0" w:rsidP="003B45C0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АДМИНИСТРАЦИЕЙ СЕЛЬСКОГО ПОСЕЛЕНИЯ НОВОЧЕРКУТИНСКИЙ СЕЛЬСОВЕТ ДОБРИНСКОГО МУНИЦИПАЛЬНОГО РАЙОНА ЛИПЕЦКОЙ ОБЛАСТИ</w:t>
      </w:r>
    </w:p>
    <w:p w14:paraId="09DDDCA3" w14:textId="77777777" w:rsidR="003B45C0" w:rsidRDefault="003B45C0" w:rsidP="003B45C0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C0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КОНТРОЛЯ </w:t>
      </w:r>
      <w:r w:rsidRPr="003377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СФЕРЕ БЛАГОУСТРОЙСТВА </w:t>
      </w:r>
      <w:r w:rsidRPr="00516648">
        <w:rPr>
          <w:b/>
          <w:sz w:val="28"/>
          <w:szCs w:val="28"/>
        </w:rPr>
        <w:t>В 2023 ГОДУ</w:t>
      </w:r>
    </w:p>
    <w:p w14:paraId="1F661C6E" w14:textId="77777777" w:rsidR="003B45C0" w:rsidRPr="00516648" w:rsidRDefault="003B45C0" w:rsidP="003B45C0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B4573E">
        <w:rPr>
          <w:sz w:val="28"/>
          <w:szCs w:val="28"/>
        </w:rPr>
        <w:t xml:space="preserve">Настоящий доклад подготовлен </w:t>
      </w:r>
      <w:r>
        <w:rPr>
          <w:sz w:val="28"/>
          <w:szCs w:val="28"/>
        </w:rPr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14:paraId="2B5D58D1" w14:textId="77777777" w:rsidR="003B45C0" w:rsidRPr="00337717" w:rsidRDefault="003B45C0" w:rsidP="003B45C0">
      <w:pPr>
        <w:spacing w:before="220"/>
        <w:ind w:firstLine="426"/>
        <w:jc w:val="center"/>
        <w:rPr>
          <w:b/>
          <w:sz w:val="28"/>
          <w:szCs w:val="28"/>
        </w:rPr>
      </w:pPr>
      <w:r w:rsidRPr="00337717">
        <w:rPr>
          <w:b/>
          <w:sz w:val="28"/>
          <w:szCs w:val="28"/>
        </w:rPr>
        <w:t>1. Общие сведения</w:t>
      </w:r>
    </w:p>
    <w:p w14:paraId="37250DE3" w14:textId="77777777" w:rsidR="003B45C0" w:rsidRPr="00DD6E53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 xml:space="preserve">Муниципальный контроль </w:t>
      </w:r>
      <w:r w:rsidRPr="003377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благоустройства на </w:t>
      </w:r>
      <w:r w:rsidRPr="00337717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33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Новочеркутинский сельсовет Добринского муниципального района Липецкой области </w:t>
      </w:r>
      <w:r w:rsidRPr="00DD6E53">
        <w:rPr>
          <w:sz w:val="28"/>
          <w:szCs w:val="28"/>
        </w:rPr>
        <w:t>осуществля</w:t>
      </w:r>
      <w:r>
        <w:rPr>
          <w:sz w:val="28"/>
          <w:szCs w:val="28"/>
        </w:rPr>
        <w:t>л</w:t>
      </w:r>
      <w:r w:rsidRPr="00DD6E53">
        <w:rPr>
          <w:sz w:val="28"/>
          <w:szCs w:val="28"/>
        </w:rPr>
        <w:t xml:space="preserve">ся на основании </w:t>
      </w:r>
      <w:proofErr w:type="gramStart"/>
      <w:r w:rsidRPr="00DD6E53">
        <w:rPr>
          <w:sz w:val="28"/>
          <w:szCs w:val="28"/>
        </w:rPr>
        <w:t>следующих</w:t>
      </w:r>
      <w:proofErr w:type="gramEnd"/>
      <w:r w:rsidRPr="00DD6E53">
        <w:rPr>
          <w:sz w:val="28"/>
          <w:szCs w:val="28"/>
        </w:rPr>
        <w:t xml:space="preserve"> нормативных правовых актов: </w:t>
      </w:r>
    </w:p>
    <w:p w14:paraId="23928DA4" w14:textId="77777777" w:rsidR="003B45C0" w:rsidRPr="00DD6E53" w:rsidRDefault="003B45C0" w:rsidP="003B45C0">
      <w:pPr>
        <w:spacing w:before="220"/>
        <w:ind w:firstLine="426"/>
        <w:jc w:val="both"/>
        <w:rPr>
          <w:bCs/>
          <w:sz w:val="28"/>
          <w:szCs w:val="28"/>
          <w:lang w:eastAsia="zh-CN"/>
        </w:rPr>
      </w:pPr>
      <w:r w:rsidRPr="00DD6E53"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 xml:space="preserve"> </w:t>
      </w:r>
      <w:r w:rsidRPr="00DD6E53">
        <w:rPr>
          <w:bCs/>
          <w:sz w:val="28"/>
          <w:szCs w:val="28"/>
          <w:lang w:eastAsia="zh-CN"/>
        </w:rPr>
        <w:t>Федеральн</w:t>
      </w:r>
      <w:r>
        <w:rPr>
          <w:bCs/>
          <w:sz w:val="28"/>
          <w:szCs w:val="28"/>
          <w:lang w:eastAsia="zh-CN"/>
        </w:rPr>
        <w:t>ого</w:t>
      </w:r>
      <w:r w:rsidRPr="00DD6E53">
        <w:rPr>
          <w:bCs/>
          <w:sz w:val="28"/>
          <w:szCs w:val="28"/>
          <w:lang w:eastAsia="zh-CN"/>
        </w:rPr>
        <w:t xml:space="preserve"> закон</w:t>
      </w:r>
      <w:r>
        <w:rPr>
          <w:bCs/>
          <w:sz w:val="28"/>
          <w:szCs w:val="28"/>
          <w:lang w:eastAsia="zh-CN"/>
        </w:rPr>
        <w:t>а</w:t>
      </w:r>
      <w:r w:rsidRPr="00DD6E53">
        <w:rPr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8508DB1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D6E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6E53">
        <w:rPr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55589338" w14:textId="77777777" w:rsidR="003B45C0" w:rsidRPr="00DD6E53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64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16648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14:paraId="4214B5F8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сельского поселения Новочеркутинский </w:t>
      </w:r>
      <w:r w:rsidRPr="00516648">
        <w:rPr>
          <w:sz w:val="28"/>
          <w:szCs w:val="28"/>
        </w:rPr>
        <w:t>сельсовет Добринского муниципального района Липецкой области</w:t>
      </w:r>
      <w:r>
        <w:rPr>
          <w:sz w:val="28"/>
          <w:szCs w:val="28"/>
        </w:rPr>
        <w:t>;</w:t>
      </w:r>
    </w:p>
    <w:p w14:paraId="2F95B0C7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516648">
        <w:rPr>
          <w:sz w:val="28"/>
          <w:szCs w:val="28"/>
        </w:rPr>
        <w:t>оложени</w:t>
      </w:r>
      <w:r>
        <w:rPr>
          <w:sz w:val="28"/>
          <w:szCs w:val="28"/>
        </w:rPr>
        <w:t>я «</w:t>
      </w:r>
      <w:r w:rsidRPr="00516648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Новочеркутинский</w:t>
      </w:r>
      <w:r w:rsidRPr="00516648"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sz w:val="28"/>
          <w:szCs w:val="28"/>
        </w:rPr>
        <w:t xml:space="preserve">», принятого </w:t>
      </w:r>
      <w:r w:rsidRPr="0051664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516648">
        <w:rPr>
          <w:sz w:val="28"/>
          <w:szCs w:val="28"/>
        </w:rPr>
        <w:t xml:space="preserve"> Совета депутатов сельского поселения </w:t>
      </w:r>
      <w:r>
        <w:rPr>
          <w:sz w:val="28"/>
          <w:szCs w:val="28"/>
        </w:rPr>
        <w:t>Новочеркутинский</w:t>
      </w:r>
      <w:r w:rsidRPr="00516648">
        <w:rPr>
          <w:sz w:val="28"/>
          <w:szCs w:val="28"/>
        </w:rPr>
        <w:t xml:space="preserve"> сельсовет Добринского муниципального района Липецкой обл</w:t>
      </w:r>
      <w:r>
        <w:rPr>
          <w:sz w:val="28"/>
          <w:szCs w:val="28"/>
        </w:rPr>
        <w:t>асти</w:t>
      </w:r>
      <w:r w:rsidRPr="00516648">
        <w:rPr>
          <w:sz w:val="28"/>
          <w:szCs w:val="28"/>
        </w:rPr>
        <w:t xml:space="preserve"> от </w:t>
      </w:r>
      <w:r>
        <w:rPr>
          <w:sz w:val="28"/>
          <w:szCs w:val="28"/>
        </w:rPr>
        <w:t>10.11.2021г.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232 </w:t>
      </w:r>
      <w:r w:rsidRPr="00516648">
        <w:rPr>
          <w:sz w:val="28"/>
          <w:szCs w:val="28"/>
        </w:rPr>
        <w:t>-</w:t>
      </w:r>
      <w:proofErr w:type="spellStart"/>
      <w:r w:rsidRPr="00516648"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(далее – Положение);</w:t>
      </w:r>
    </w:p>
    <w:p w14:paraId="1CAB994A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иных нормативных правовых актов.</w:t>
      </w:r>
    </w:p>
    <w:p w14:paraId="7E245AEF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>
        <w:rPr>
          <w:sz w:val="28"/>
          <w:szCs w:val="28"/>
        </w:rPr>
        <w:t>Новочеркутинский</w:t>
      </w:r>
      <w:r w:rsidRPr="00516648">
        <w:rPr>
          <w:sz w:val="28"/>
          <w:szCs w:val="28"/>
        </w:rPr>
        <w:t xml:space="preserve"> сельсовет Добринского муниципального района Липецкой области (далее - уполномоченный орган).</w:t>
      </w:r>
    </w:p>
    <w:p w14:paraId="53C185B9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516648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sz w:val="28"/>
          <w:szCs w:val="28"/>
        </w:rPr>
        <w:t xml:space="preserve"> нормативными правовыми актами:</w:t>
      </w:r>
    </w:p>
    <w:p w14:paraId="4233F0A2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sz w:val="28"/>
          <w:szCs w:val="28"/>
        </w:rPr>
        <w:t>Новочеркутинский</w:t>
      </w:r>
      <w:r w:rsidRPr="00516648">
        <w:rPr>
          <w:sz w:val="28"/>
          <w:szCs w:val="28"/>
        </w:rPr>
        <w:t xml:space="preserve"> сельсовет Добринского муниципального района;</w:t>
      </w:r>
    </w:p>
    <w:p w14:paraId="5DA35C4E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 xml:space="preserve">Новочеркутинский </w:t>
      </w:r>
      <w:r w:rsidRPr="00516648">
        <w:rPr>
          <w:sz w:val="28"/>
          <w:szCs w:val="28"/>
        </w:rPr>
        <w:t>сельсовет Добринского муниципального района</w:t>
      </w:r>
      <w:r>
        <w:rPr>
          <w:sz w:val="28"/>
          <w:szCs w:val="28"/>
        </w:rPr>
        <w:t>.</w:t>
      </w:r>
    </w:p>
    <w:p w14:paraId="5F18F3ED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>Объектами муниципального контроля (далее - объект контроля) являются</w:t>
      </w:r>
      <w:r>
        <w:rPr>
          <w:sz w:val="28"/>
          <w:szCs w:val="28"/>
        </w:rPr>
        <w:t>:</w:t>
      </w:r>
      <w:r w:rsidRPr="00516648">
        <w:rPr>
          <w:sz w:val="28"/>
          <w:szCs w:val="28"/>
        </w:rPr>
        <w:t xml:space="preserve"> </w:t>
      </w:r>
    </w:p>
    <w:p w14:paraId="5B52B1E6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0E7FA67D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5222CC65" w14:textId="77777777" w:rsidR="003B45C0" w:rsidRPr="005B1267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lastRenderedPageBreak/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sz w:val="28"/>
          <w:szCs w:val="28"/>
        </w:rPr>
        <w:t>благоустройства.</w:t>
      </w:r>
    </w:p>
    <w:p w14:paraId="1C08275E" w14:textId="77777777" w:rsidR="003B45C0" w:rsidRPr="005B1267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Положением определены ключевые показатели вида контроля и их целевые значения. </w:t>
      </w:r>
    </w:p>
    <w:p w14:paraId="7FDB1178" w14:textId="77777777" w:rsidR="003B45C0" w:rsidRPr="005B1267" w:rsidRDefault="003B45C0" w:rsidP="003B45C0">
      <w:pPr>
        <w:spacing w:before="220"/>
        <w:ind w:firstLine="426"/>
        <w:jc w:val="center"/>
        <w:rPr>
          <w:b/>
          <w:sz w:val="28"/>
          <w:szCs w:val="28"/>
        </w:rPr>
      </w:pPr>
      <w:r w:rsidRPr="005B1267">
        <w:rPr>
          <w:b/>
          <w:sz w:val="28"/>
          <w:szCs w:val="28"/>
        </w:rPr>
        <w:t>2. Сведения об организации муниципального контроля</w:t>
      </w:r>
      <w:r>
        <w:rPr>
          <w:b/>
          <w:sz w:val="28"/>
          <w:szCs w:val="28"/>
        </w:rPr>
        <w:t xml:space="preserve"> </w:t>
      </w:r>
      <w:r w:rsidRPr="005B1267">
        <w:rPr>
          <w:b/>
          <w:sz w:val="28"/>
          <w:szCs w:val="28"/>
        </w:rPr>
        <w:t xml:space="preserve">в сфере благоустройства на  территории </w:t>
      </w:r>
      <w:r>
        <w:rPr>
          <w:b/>
          <w:sz w:val="28"/>
          <w:szCs w:val="28"/>
        </w:rPr>
        <w:t>сельского поселения</w:t>
      </w:r>
    </w:p>
    <w:p w14:paraId="123A1E02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5A9DFE7A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2 статьи 61 Федерального закона от 31 июля 2020 года </w:t>
      </w:r>
      <w:r>
        <w:rPr>
          <w:sz w:val="28"/>
          <w:szCs w:val="28"/>
        </w:rPr>
        <w:t>№</w:t>
      </w:r>
      <w:r w:rsidRPr="005B1267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7A3880A8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3 статьи 66 Федерального закона от 31 июля 2020 года </w:t>
      </w:r>
      <w:r>
        <w:rPr>
          <w:sz w:val="28"/>
          <w:szCs w:val="28"/>
        </w:rPr>
        <w:t>«</w:t>
      </w:r>
      <w:r w:rsidRPr="005B126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B1267">
        <w:rPr>
          <w:sz w:val="28"/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64ACB446" w14:textId="77777777" w:rsidR="003B45C0" w:rsidRPr="005B1267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5B1267">
        <w:rPr>
          <w:sz w:val="28"/>
          <w:szCs w:val="28"/>
        </w:rPr>
        <w:t xml:space="preserve"> внесена необходимая информация и документы </w:t>
      </w:r>
      <w:r>
        <w:rPr>
          <w:sz w:val="28"/>
          <w:szCs w:val="28"/>
        </w:rPr>
        <w:t xml:space="preserve">в </w:t>
      </w:r>
      <w:r w:rsidRPr="005B1267">
        <w:rPr>
          <w:sz w:val="28"/>
          <w:szCs w:val="28"/>
        </w:rPr>
        <w:t>Единый реестр видов контроля (ЕРВК)</w:t>
      </w:r>
      <w:r>
        <w:rPr>
          <w:sz w:val="28"/>
          <w:szCs w:val="28"/>
        </w:rPr>
        <w:t>.</w:t>
      </w:r>
    </w:p>
    <w:p w14:paraId="508CDC63" w14:textId="77777777" w:rsidR="003B45C0" w:rsidRPr="005B1267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обжалование при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контроля не применяется. </w:t>
      </w:r>
      <w:r w:rsidRPr="005B126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B1267">
        <w:rPr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14:paraId="46EF9E93" w14:textId="77777777" w:rsidR="003B45C0" w:rsidRPr="00C70875" w:rsidRDefault="003B45C0" w:rsidP="003B45C0">
      <w:pPr>
        <w:spacing w:before="220"/>
        <w:ind w:firstLine="426"/>
        <w:jc w:val="center"/>
        <w:rPr>
          <w:sz w:val="28"/>
          <w:szCs w:val="28"/>
        </w:rPr>
      </w:pPr>
      <w:r w:rsidRPr="005B1267">
        <w:rPr>
          <w:b/>
          <w:sz w:val="28"/>
          <w:szCs w:val="28"/>
        </w:rPr>
        <w:t>4. Сведения о контрольных</w:t>
      </w:r>
      <w:r>
        <w:rPr>
          <w:b/>
          <w:sz w:val="28"/>
          <w:szCs w:val="28"/>
        </w:rPr>
        <w:t xml:space="preserve"> и профилактических</w:t>
      </w:r>
      <w:r w:rsidRPr="005B1267">
        <w:rPr>
          <w:b/>
          <w:sz w:val="28"/>
          <w:szCs w:val="28"/>
        </w:rPr>
        <w:t xml:space="preserve"> мероприятиях</w:t>
      </w:r>
    </w:p>
    <w:p w14:paraId="71A35AB8" w14:textId="77777777" w:rsidR="003B45C0" w:rsidRDefault="003B45C0" w:rsidP="003B45C0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14:paraId="22DC4593" w14:textId="77777777" w:rsidR="003B45C0" w:rsidRPr="00D170FA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7765CE46" w14:textId="77777777" w:rsidR="003B45C0" w:rsidRDefault="003B45C0" w:rsidP="003B45C0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информирование;</w:t>
      </w:r>
    </w:p>
    <w:p w14:paraId="17A74446" w14:textId="77777777" w:rsidR="003B45C0" w:rsidRDefault="003B45C0" w:rsidP="003B45C0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консультирование;</w:t>
      </w:r>
    </w:p>
    <w:p w14:paraId="06F2FA30" w14:textId="77777777" w:rsidR="003B45C0" w:rsidRPr="00C70875" w:rsidRDefault="003B45C0" w:rsidP="003B45C0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обобщение правоприменительной практики.</w:t>
      </w:r>
    </w:p>
    <w:p w14:paraId="3274C53A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3</w:t>
      </w:r>
      <w:r w:rsidRPr="00D170F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консультирований не проводилось ввиду отсутствия обращений.</w:t>
      </w:r>
    </w:p>
    <w:p w14:paraId="44BF07FA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7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sz w:val="28"/>
          <w:szCs w:val="28"/>
        </w:rPr>
        <w:t xml:space="preserve"> (при их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 и в иных формах.</w:t>
      </w:r>
    </w:p>
    <w:p w14:paraId="6FA1EDB7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>на своем официальном сайте в сети Интернет</w:t>
      </w:r>
      <w:r w:rsidRPr="005A72F9">
        <w:rPr>
          <w:sz w:val="28"/>
          <w:szCs w:val="28"/>
        </w:rPr>
        <w:t xml:space="preserve">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14:paraId="322974E6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8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>по телефону, посредством видео-конференц-связи, на личном приеме, либо</w:t>
      </w:r>
      <w:proofErr w:type="gramEnd"/>
      <w:r w:rsidRPr="000D0A01">
        <w:rPr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B767949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0B17EEA4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14:paraId="302ACCA4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14:paraId="74F978DB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14:paraId="219E5C20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53410720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год. </w:t>
      </w:r>
    </w:p>
    <w:p w14:paraId="00BB25C1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26A40966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0D0A01">
        <w:rPr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9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14:paraId="7E094EF1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0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1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sz w:val="28"/>
          <w:szCs w:val="28"/>
        </w:rPr>
        <w:t>утвержденными</w:t>
      </w:r>
      <w:proofErr w:type="gramEnd"/>
      <w:r w:rsidRPr="000D0A01">
        <w:rPr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14:paraId="4626646E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 xml:space="preserve">Муниципальный контроль осуществляется уполномоченным органом посредством контрольных мероприятий, проводимых при </w:t>
      </w:r>
      <w:proofErr w:type="gramStart"/>
      <w:r w:rsidRPr="000D0A01">
        <w:rPr>
          <w:sz w:val="28"/>
          <w:szCs w:val="28"/>
        </w:rPr>
        <w:t>взаимодействии</w:t>
      </w:r>
      <w:proofErr w:type="gramEnd"/>
      <w:r w:rsidRPr="000D0A01">
        <w:rPr>
          <w:sz w:val="28"/>
          <w:szCs w:val="28"/>
        </w:rPr>
        <w:t xml:space="preserve">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14:paraId="49E7AF58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583EA593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14:paraId="7662D3BD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14:paraId="4861E39C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14:paraId="6E65AB84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14:paraId="4D71CA9B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14:paraId="21768CA1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14:paraId="5BFDBAAD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14:paraId="2FEF75E9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173CD5"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 xml:space="preserve">Об особенностях организации и осуществления государственного контроля (надзора), муниципального </w:t>
      </w:r>
      <w:r w:rsidRPr="00173CD5">
        <w:rPr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108B372D" w14:textId="77777777" w:rsidR="003B45C0" w:rsidRPr="002A3C09" w:rsidRDefault="003B45C0" w:rsidP="003B45C0">
      <w:pPr>
        <w:spacing w:before="220"/>
        <w:ind w:firstLine="426"/>
        <w:jc w:val="center"/>
        <w:rPr>
          <w:sz w:val="28"/>
          <w:szCs w:val="28"/>
        </w:rPr>
      </w:pPr>
      <w:r w:rsidRPr="002A3C09">
        <w:rPr>
          <w:b/>
          <w:bCs/>
          <w:sz w:val="28"/>
          <w:szCs w:val="28"/>
        </w:rPr>
        <w:t>5. Выводы</w:t>
      </w:r>
      <w:r w:rsidRPr="005B1267">
        <w:rPr>
          <w:b/>
          <w:sz w:val="28"/>
          <w:szCs w:val="28"/>
        </w:rPr>
        <w:t xml:space="preserve"> и предложения </w:t>
      </w:r>
    </w:p>
    <w:p w14:paraId="47D0706B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sz w:val="28"/>
          <w:szCs w:val="28"/>
        </w:rPr>
        <w:t>связанной</w:t>
      </w:r>
      <w:proofErr w:type="gramEnd"/>
      <w:r w:rsidRPr="00D170FA">
        <w:rPr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275A61E" w14:textId="77777777" w:rsidR="003B45C0" w:rsidRPr="00986488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1672A04C" w14:textId="77777777" w:rsidR="003B45C0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467C3D74" w14:textId="77777777" w:rsidR="003B45C0" w:rsidRPr="00D170FA" w:rsidRDefault="003B45C0" w:rsidP="003B45C0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170FA">
        <w:rPr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sz w:val="28"/>
          <w:szCs w:val="28"/>
        </w:rPr>
        <w:t xml:space="preserve"> </w:t>
      </w:r>
      <w:r w:rsidRPr="00D170FA">
        <w:rPr>
          <w:sz w:val="28"/>
          <w:szCs w:val="28"/>
        </w:rPr>
        <w:t>не имеется.</w:t>
      </w:r>
    </w:p>
    <w:p w14:paraId="70C2B557" w14:textId="71BF9E72" w:rsidR="00F43BB0" w:rsidRDefault="00F43BB0" w:rsidP="00D040B9">
      <w:bookmarkStart w:id="0" w:name="_GoBack"/>
      <w:bookmarkEnd w:id="0"/>
    </w:p>
    <w:sectPr w:rsidR="00F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74DC4"/>
    <w:multiLevelType w:val="hybridMultilevel"/>
    <w:tmpl w:val="2F8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B9"/>
    <w:rsid w:val="00072A7F"/>
    <w:rsid w:val="000D0B1D"/>
    <w:rsid w:val="001454D2"/>
    <w:rsid w:val="00156A62"/>
    <w:rsid w:val="001C1080"/>
    <w:rsid w:val="001C680A"/>
    <w:rsid w:val="001D0842"/>
    <w:rsid w:val="00227B9A"/>
    <w:rsid w:val="002A2FDF"/>
    <w:rsid w:val="003B45C0"/>
    <w:rsid w:val="003B5464"/>
    <w:rsid w:val="0043062D"/>
    <w:rsid w:val="00450F67"/>
    <w:rsid w:val="004845A0"/>
    <w:rsid w:val="004967D9"/>
    <w:rsid w:val="004D36ED"/>
    <w:rsid w:val="004E5B17"/>
    <w:rsid w:val="00581732"/>
    <w:rsid w:val="005B2C4F"/>
    <w:rsid w:val="006C7AF8"/>
    <w:rsid w:val="006D3C11"/>
    <w:rsid w:val="007030EE"/>
    <w:rsid w:val="00706508"/>
    <w:rsid w:val="0078216B"/>
    <w:rsid w:val="00840509"/>
    <w:rsid w:val="00915E99"/>
    <w:rsid w:val="00937859"/>
    <w:rsid w:val="00953DC6"/>
    <w:rsid w:val="009E3609"/>
    <w:rsid w:val="00A3775A"/>
    <w:rsid w:val="00B13679"/>
    <w:rsid w:val="00B71813"/>
    <w:rsid w:val="00C1140C"/>
    <w:rsid w:val="00C47D22"/>
    <w:rsid w:val="00D040B9"/>
    <w:rsid w:val="00D4285C"/>
    <w:rsid w:val="00E865EC"/>
    <w:rsid w:val="00F43BB0"/>
    <w:rsid w:val="00F76E83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B8FC594A07C00ACFEA32322FFA3042CB65474C0A7E6FEC13177CC913C81BC8DA438500426FB9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Наталия</cp:lastModifiedBy>
  <cp:revision>7</cp:revision>
  <cp:lastPrinted>2022-05-23T11:26:00Z</cp:lastPrinted>
  <dcterms:created xsi:type="dcterms:W3CDTF">2024-02-05T06:40:00Z</dcterms:created>
  <dcterms:modified xsi:type="dcterms:W3CDTF">2024-02-27T08:02:00Z</dcterms:modified>
</cp:coreProperties>
</file>