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F74D8C" w:rsidP="00CB7EC5">
      <w:pPr>
        <w:ind w:firstLine="0"/>
        <w:jc w:val="center"/>
      </w:pPr>
      <w:r>
        <w:t>15</w:t>
      </w:r>
      <w:r w:rsidR="00CB7EC5">
        <w:t>.0</w:t>
      </w:r>
      <w:r>
        <w:t>9</w:t>
      </w:r>
      <w:r w:rsidR="00CB7EC5">
        <w:t xml:space="preserve">.2016 г </w:t>
      </w:r>
      <w:r w:rsidR="00CB7EC5">
        <w:tab/>
      </w:r>
      <w:r w:rsidR="00CB7EC5">
        <w:tab/>
      </w:r>
      <w:r w:rsidR="00CB7EC5">
        <w:tab/>
        <w:t>с. Новочеркутино</w:t>
      </w:r>
      <w:r w:rsidR="00CB7EC5">
        <w:tab/>
      </w:r>
      <w:r w:rsidR="00CB7EC5">
        <w:tab/>
      </w:r>
      <w:r w:rsidR="00CB7EC5">
        <w:tab/>
        <w:t xml:space="preserve">№ </w:t>
      </w:r>
      <w:r>
        <w:t>110</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Pr>
            <w:rStyle w:val="a3"/>
          </w:rPr>
          <w:t xml:space="preserve">от 03.08.2015г. № 34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3. Контроль за выполнением настоящего постановления оставляю за собой.</w:t>
      </w:r>
    </w:p>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r>
        <w:lastRenderedPageBreak/>
        <w:t xml:space="preserve">Приняты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F74D8C">
        <w:t>15</w:t>
      </w:r>
      <w:r>
        <w:t>.0</w:t>
      </w:r>
      <w:r w:rsidR="00F74D8C">
        <w:t>9</w:t>
      </w:r>
      <w:r w:rsidR="00B04701">
        <w:t xml:space="preserve">.2016 г. № </w:t>
      </w:r>
      <w:r w:rsidR="00F74D8C">
        <w:t>110</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r w:rsidR="00B04701">
        <w:t>, № 68 от 17.06.2016г</w:t>
      </w:r>
      <w:r w:rsidR="00F74D8C">
        <w:t>, № 94 от 26.08.2016г</w:t>
      </w:r>
      <w:r>
        <w:t xml:space="preserve"> )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4.«Обеспечение реализации муниципальной политики на территории сельского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6. Количество экземпляров новых поступлений в библиотечный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B00BF3">
              <w:t>3</w:t>
            </w:r>
            <w:r w:rsidR="00606CED">
              <w:t>3206,8</w:t>
            </w:r>
            <w:r>
              <w:t xml:space="preserve"> 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606CED">
              <w:t>7139,1</w:t>
            </w:r>
            <w:r w:rsidR="00CB7EC5">
              <w:t xml:space="preserve"> тыс. руб.;</w:t>
            </w:r>
          </w:p>
          <w:p w:rsidR="00CB7EC5" w:rsidRDefault="00CB7EC5">
            <w:pPr>
              <w:ind w:firstLine="0"/>
              <w:jc w:val="left"/>
            </w:pPr>
            <w:r>
              <w:t xml:space="preserve">2017 год – </w:t>
            </w:r>
            <w:r w:rsidR="00606CED">
              <w:t>3693,5</w:t>
            </w:r>
            <w:r>
              <w:t xml:space="preserve"> тыс. руб.;</w:t>
            </w:r>
          </w:p>
          <w:p w:rsidR="00CB7EC5" w:rsidRDefault="00CB7EC5">
            <w:pPr>
              <w:ind w:firstLine="0"/>
              <w:jc w:val="left"/>
            </w:pPr>
            <w:r>
              <w:t>2018 год – 3580,4 тыс. руб.;</w:t>
            </w:r>
          </w:p>
          <w:p w:rsidR="00CB7EC5" w:rsidRDefault="00CB7EC5">
            <w:pPr>
              <w:ind w:firstLine="0"/>
              <w:jc w:val="left"/>
            </w:pPr>
            <w:r>
              <w:t>2019 год – 4484 тыс. руб.;</w:t>
            </w:r>
          </w:p>
          <w:p w:rsidR="00CB7EC5" w:rsidRDefault="00CB7EC5">
            <w:pPr>
              <w:ind w:firstLine="0"/>
              <w:jc w:val="left"/>
            </w:pPr>
            <w:r>
              <w:t>2020 год – 4484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606CED">
        <w:t>33206,8</w:t>
      </w:r>
      <w:r>
        <w:t xml:space="preserve"> 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606CED">
        <w:t>14739,2</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606CED">
        <w:t>17307,1</w:t>
      </w:r>
      <w:r>
        <w:t xml:space="preserve"> тыс. руб.;</w:t>
      </w:r>
    </w:p>
    <w:p w:rsidR="00CB7EC5" w:rsidRDefault="00CB7EC5" w:rsidP="00CB7EC5">
      <w:r>
        <w:t>- подпрограммы «Обеспечение безопасности человека и природной среды на территории сельского поселения Новочеркутинский сельсовет» - предположительно 60 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606CED">
        <w:t>1100,5</w:t>
      </w:r>
      <w:r w:rsidR="00B00BF3">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1. Протяженность построенных, капитально отремонтированных и прошедших текущий ремонт дорог, км.</w:t>
            </w:r>
          </w:p>
          <w:p w:rsidR="00CB7EC5" w:rsidRDefault="00CB7EC5">
            <w:pPr>
              <w:ind w:firstLine="0"/>
              <w:jc w:val="left"/>
            </w:pPr>
            <w:r>
              <w:t>2. Протяженность построенных (отремонтированных) водопроводных сетей, км.</w:t>
            </w:r>
          </w:p>
          <w:p w:rsidR="00CB7EC5" w:rsidRDefault="00CB7EC5">
            <w:pPr>
              <w:ind w:firstLine="0"/>
              <w:jc w:val="left"/>
            </w:pPr>
            <w:r>
              <w:t>3. Протяженность освещенных частей улиц, проездов, км.</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14739,2</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606CED">
              <w:t>3373,8</w:t>
            </w:r>
            <w:r>
              <w:t xml:space="preserve"> тыс. руб.,</w:t>
            </w:r>
          </w:p>
          <w:p w:rsidR="00CB7EC5" w:rsidRDefault="00CB7EC5">
            <w:pPr>
              <w:ind w:firstLine="0"/>
              <w:jc w:val="left"/>
            </w:pPr>
            <w:r>
              <w:t xml:space="preserve">2017 г. – </w:t>
            </w:r>
            <w:r w:rsidR="00606CED">
              <w:t xml:space="preserve">897,8 </w:t>
            </w:r>
            <w:r>
              <w:t>тыс. руб.,</w:t>
            </w:r>
          </w:p>
          <w:p w:rsidR="00CB7EC5" w:rsidRDefault="00CB7EC5">
            <w:pPr>
              <w:ind w:firstLine="0"/>
              <w:jc w:val="left"/>
            </w:pPr>
            <w:r>
              <w:t>2018 г. – 1348,9 тыс. руб.,</w:t>
            </w:r>
          </w:p>
          <w:p w:rsidR="00CB7EC5" w:rsidRDefault="00CB7EC5">
            <w:pPr>
              <w:ind w:firstLine="0"/>
              <w:jc w:val="left"/>
            </w:pPr>
            <w:r>
              <w:t>2019 г. – 2242,6 тыс. руб.,</w:t>
            </w:r>
          </w:p>
          <w:p w:rsidR="00CB7EC5" w:rsidRDefault="00CB7EC5">
            <w:pPr>
              <w:ind w:firstLine="0"/>
              <w:jc w:val="left"/>
            </w:pPr>
            <w:r>
              <w:t>2020 г. – 2242,6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14</w:t>
      </w:r>
      <w:r w:rsidR="00B00BF3">
        <w:t>7</w:t>
      </w:r>
      <w:r w:rsidR="00262849">
        <w:t xml:space="preserve">39,2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262849">
        <w:t>3373,8</w:t>
      </w:r>
      <w:r w:rsidR="00CB7EC5">
        <w:t xml:space="preserve"> тыс. руб.,</w:t>
      </w:r>
    </w:p>
    <w:p w:rsidR="00CB7EC5" w:rsidRDefault="00CB7EC5" w:rsidP="00CB7EC5">
      <w:r>
        <w:t xml:space="preserve">2017 г. – </w:t>
      </w:r>
      <w:r w:rsidR="00262849">
        <w:t>897,8</w:t>
      </w:r>
      <w:r>
        <w:t xml:space="preserve"> тыс. руб.,</w:t>
      </w:r>
    </w:p>
    <w:p w:rsidR="00CB7EC5" w:rsidRDefault="00CB7EC5" w:rsidP="00CB7EC5">
      <w:r>
        <w:t>2018 г. – 1348,9 тыс. руб.,</w:t>
      </w:r>
    </w:p>
    <w:p w:rsidR="00CB7EC5" w:rsidRDefault="00CB7EC5" w:rsidP="00CB7EC5">
      <w:r>
        <w:t>2019 г. – 2242,6 тыс. руб.,</w:t>
      </w:r>
    </w:p>
    <w:p w:rsidR="00CB7EC5" w:rsidRDefault="00CB7EC5" w:rsidP="00CB7EC5">
      <w:r>
        <w:t>2020 г. – 2242,6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r w:rsidRPr="00F158C0">
        <w:rPr>
          <w:rFonts w:cs="Arial"/>
          <w:b/>
        </w:rPr>
        <w:t>П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Прогнозируемый объем финансирования из бюджета сельского поселения составит – 1</w:t>
            </w:r>
            <w:r w:rsidR="00262849">
              <w:rPr>
                <w:rFonts w:cs="Arial"/>
              </w:rPr>
              <w:t xml:space="preserve">7307,1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2016 г. – 3</w:t>
            </w:r>
            <w:r w:rsidR="00262849">
              <w:rPr>
                <w:rFonts w:cs="Arial"/>
              </w:rPr>
              <w:t>483,9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262849">
              <w:rPr>
                <w:rFonts w:cs="Arial"/>
              </w:rPr>
              <w:t>2509,4</w:t>
            </w:r>
            <w:r w:rsidRPr="00F158C0">
              <w:rPr>
                <w:rFonts w:cs="Arial"/>
              </w:rPr>
              <w:t xml:space="preserve"> тыс. руб.,</w:t>
            </w:r>
          </w:p>
          <w:p w:rsidR="00E16071" w:rsidRPr="00F158C0" w:rsidRDefault="00E16071" w:rsidP="00B04701">
            <w:pPr>
              <w:ind w:firstLine="851"/>
              <w:rPr>
                <w:rFonts w:cs="Arial"/>
              </w:rPr>
            </w:pPr>
            <w:r w:rsidRPr="00F158C0">
              <w:rPr>
                <w:rFonts w:cs="Arial"/>
              </w:rPr>
              <w:t>2018 г. – 2 204,4 тыс. руб.,</w:t>
            </w:r>
          </w:p>
          <w:p w:rsidR="00E16071" w:rsidRPr="00F158C0" w:rsidRDefault="00E16071" w:rsidP="00B04701">
            <w:pPr>
              <w:ind w:firstLine="851"/>
              <w:rPr>
                <w:rFonts w:cs="Arial"/>
              </w:rPr>
            </w:pPr>
            <w:r w:rsidRPr="00F158C0">
              <w:rPr>
                <w:rFonts w:cs="Arial"/>
              </w:rPr>
              <w:t>2019 г. – 2 204,4 тыс. руб.,</w:t>
            </w:r>
          </w:p>
          <w:p w:rsidR="00E16071" w:rsidRPr="00F158C0" w:rsidRDefault="00E16071" w:rsidP="00B04701">
            <w:pPr>
              <w:ind w:firstLine="851"/>
              <w:rPr>
                <w:rFonts w:cs="Arial"/>
              </w:rPr>
            </w:pPr>
            <w:r w:rsidRPr="00F158C0">
              <w:rPr>
                <w:rFonts w:cs="Arial"/>
              </w:rPr>
              <w:t>2020 г. – 2 204,4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262849">
        <w:rPr>
          <w:rFonts w:cs="Arial"/>
        </w:rPr>
        <w:t>17307,1</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тыс.руб.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тыс.руб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262849">
        <w:rPr>
          <w:rFonts w:cs="Arial"/>
        </w:rPr>
        <w:t>483,9</w:t>
      </w:r>
      <w:r w:rsidRPr="00F158C0">
        <w:rPr>
          <w:rFonts w:cs="Arial"/>
        </w:rPr>
        <w:t xml:space="preserve"> </w:t>
      </w:r>
      <w:proofErr w:type="spellStart"/>
      <w:r w:rsidRPr="00F158C0">
        <w:rPr>
          <w:rFonts w:cs="Arial"/>
        </w:rPr>
        <w:t>тыс.руб</w:t>
      </w:r>
      <w:proofErr w:type="spellEnd"/>
    </w:p>
    <w:p w:rsidR="00E16071" w:rsidRPr="00F158C0" w:rsidRDefault="00E16071" w:rsidP="00E16071">
      <w:pPr>
        <w:ind w:firstLine="851"/>
        <w:rPr>
          <w:rFonts w:cs="Arial"/>
        </w:rPr>
      </w:pPr>
      <w:r w:rsidRPr="00F158C0">
        <w:rPr>
          <w:rFonts w:cs="Arial"/>
        </w:rPr>
        <w:t>-2017 г. – 2</w:t>
      </w:r>
      <w:r w:rsidR="00262849">
        <w:rPr>
          <w:rFonts w:cs="Arial"/>
        </w:rPr>
        <w:t> 590,4</w:t>
      </w:r>
      <w:r w:rsidRPr="00F158C0">
        <w:rPr>
          <w:rFonts w:cs="Arial"/>
        </w:rPr>
        <w:t xml:space="preserve"> тыс.руб.</w:t>
      </w:r>
    </w:p>
    <w:p w:rsidR="00E16071" w:rsidRPr="00F158C0" w:rsidRDefault="00E16071" w:rsidP="00E16071">
      <w:pPr>
        <w:ind w:firstLine="851"/>
        <w:rPr>
          <w:rFonts w:cs="Arial"/>
        </w:rPr>
      </w:pPr>
      <w:r w:rsidRPr="00F158C0">
        <w:rPr>
          <w:rFonts w:cs="Arial"/>
        </w:rPr>
        <w:t xml:space="preserve">-2018 г. – 2 204,4 </w:t>
      </w:r>
      <w:proofErr w:type="spellStart"/>
      <w:r w:rsidRPr="00F158C0">
        <w:rPr>
          <w:rFonts w:cs="Arial"/>
        </w:rPr>
        <w:t>тыс.руб</w:t>
      </w:r>
      <w:proofErr w:type="spellEnd"/>
    </w:p>
    <w:p w:rsidR="00E16071" w:rsidRPr="00F158C0" w:rsidRDefault="00E16071" w:rsidP="00E16071">
      <w:pPr>
        <w:ind w:firstLine="851"/>
        <w:rPr>
          <w:rFonts w:cs="Arial"/>
        </w:rPr>
      </w:pPr>
      <w:r w:rsidRPr="00F158C0">
        <w:rPr>
          <w:rFonts w:cs="Arial"/>
        </w:rPr>
        <w:t xml:space="preserve">-2019 г. – 2204,4 </w:t>
      </w:r>
      <w:proofErr w:type="spellStart"/>
      <w:r w:rsidRPr="00F158C0">
        <w:rPr>
          <w:rFonts w:cs="Arial"/>
        </w:rPr>
        <w:t>тыс.руб</w:t>
      </w:r>
      <w:proofErr w:type="spellEnd"/>
    </w:p>
    <w:p w:rsidR="00E16071" w:rsidRPr="00F158C0" w:rsidRDefault="00E16071" w:rsidP="00E16071">
      <w:pPr>
        <w:ind w:firstLine="851"/>
        <w:rPr>
          <w:rFonts w:cs="Arial"/>
        </w:rPr>
      </w:pPr>
      <w:r w:rsidRPr="00F158C0">
        <w:rPr>
          <w:rFonts w:cs="Arial"/>
        </w:rPr>
        <w:t>-2020 г. – 2204,4 тыс.руб.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F158C0" w:rsidRDefault="00F158C0" w:rsidP="00F158C0">
      <w:r w:rsidRPr="00F158C0">
        <w:rPr>
          <w:rFonts w:cs="Arial"/>
        </w:rPr>
        <w:t>4. внести в подпрограмму 4 следующие изменения:</w:t>
      </w:r>
      <w:r w:rsidRPr="00F158C0">
        <w:t xml:space="preserve"> </w:t>
      </w:r>
    </w:p>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r w:rsidRPr="00F158C0">
        <w:rPr>
          <w:rFonts w:cs="Arial"/>
          <w:b/>
        </w:rPr>
        <w:t>П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p>
          <w:p w:rsidR="00F158C0" w:rsidRPr="00F158C0" w:rsidRDefault="0085252A" w:rsidP="00F158C0">
            <w:pPr>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F158C0">
            <w:pPr>
              <w:rPr>
                <w:rFonts w:cs="Arial"/>
              </w:rPr>
            </w:pPr>
            <w:r w:rsidRPr="00F158C0">
              <w:rPr>
                <w:rFonts w:cs="Arial"/>
              </w:rPr>
              <w:t>3.Наличие генерального плана застройки, ед.</w:t>
            </w:r>
          </w:p>
          <w:p w:rsidR="00F158C0" w:rsidRPr="00F158C0" w:rsidRDefault="00F158C0" w:rsidP="00F158C0">
            <w:pPr>
              <w:rPr>
                <w:rFonts w:cs="Arial"/>
              </w:rPr>
            </w:pPr>
            <w:r w:rsidRPr="00F158C0">
              <w:rPr>
                <w:rFonts w:cs="Arial"/>
              </w:rPr>
              <w:t>4.Обеспеченность жителей поселения услугами Интернет</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1100,50</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262849">
              <w:rPr>
                <w:rFonts w:cs="Arial"/>
              </w:rPr>
              <w:t>69,4</w:t>
            </w:r>
            <w:r w:rsidR="0085252A">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–1</w:t>
            </w:r>
            <w:r w:rsidR="00262849">
              <w:rPr>
                <w:rFonts w:cs="Arial"/>
              </w:rPr>
              <w:t>93,3</w:t>
            </w:r>
            <w:r w:rsidRPr="00F158C0">
              <w:rPr>
                <w:rFonts w:cs="Arial"/>
              </w:rPr>
              <w:t xml:space="preserve"> тыс. руб.,</w:t>
            </w:r>
          </w:p>
          <w:p w:rsidR="00F158C0" w:rsidRPr="00F158C0" w:rsidRDefault="00F158C0" w:rsidP="00F158C0">
            <w:pPr>
              <w:rPr>
                <w:rFonts w:cs="Arial"/>
              </w:rPr>
            </w:pPr>
            <w:r w:rsidRPr="00F158C0">
              <w:rPr>
                <w:rFonts w:cs="Arial"/>
              </w:rPr>
              <w:t>2018 г. –15,1 тыс. руб.,</w:t>
            </w:r>
          </w:p>
          <w:p w:rsidR="00F158C0" w:rsidRPr="00F158C0" w:rsidRDefault="00F158C0" w:rsidP="00F158C0">
            <w:pPr>
              <w:rPr>
                <w:rFonts w:cs="Arial"/>
              </w:rPr>
            </w:pPr>
            <w:r w:rsidRPr="00F158C0">
              <w:rPr>
                <w:rFonts w:cs="Arial"/>
              </w:rPr>
              <w:t>2019 г. –25 тыс. руб.,</w:t>
            </w:r>
          </w:p>
          <w:p w:rsidR="00F158C0" w:rsidRPr="00F158C0" w:rsidRDefault="00F158C0" w:rsidP="00F158C0">
            <w:pPr>
              <w:rPr>
                <w:rFonts w:cs="Arial"/>
              </w:rPr>
            </w:pPr>
            <w:r w:rsidRPr="00F158C0">
              <w:rPr>
                <w:rFonts w:cs="Arial"/>
              </w:rPr>
              <w:t>2020 г. –25 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 xml:space="preserve">1100,5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262849">
        <w:rPr>
          <w:rFonts w:cs="Arial"/>
        </w:rPr>
        <w:t>269,4</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–1</w:t>
      </w:r>
      <w:r w:rsidR="00262849">
        <w:rPr>
          <w:rFonts w:cs="Arial"/>
        </w:rPr>
        <w:t>93,3</w:t>
      </w:r>
      <w:r w:rsidRPr="00F158C0">
        <w:rPr>
          <w:rFonts w:cs="Arial"/>
        </w:rPr>
        <w:t xml:space="preserve"> тыс. руб.,</w:t>
      </w:r>
    </w:p>
    <w:p w:rsidR="00F158C0" w:rsidRPr="00F158C0" w:rsidRDefault="00F158C0" w:rsidP="00F158C0">
      <w:pPr>
        <w:ind w:firstLine="851"/>
        <w:rPr>
          <w:rFonts w:cs="Arial"/>
        </w:rPr>
      </w:pPr>
      <w:r w:rsidRPr="00F158C0">
        <w:rPr>
          <w:rFonts w:cs="Arial"/>
        </w:rPr>
        <w:t>2018 г. –15,1тыс. руб.,</w:t>
      </w:r>
    </w:p>
    <w:p w:rsidR="00F158C0" w:rsidRPr="00F158C0" w:rsidRDefault="00F158C0" w:rsidP="00F158C0">
      <w:pPr>
        <w:ind w:firstLine="851"/>
        <w:rPr>
          <w:rFonts w:cs="Arial"/>
        </w:rPr>
      </w:pPr>
      <w:r w:rsidRPr="00F158C0">
        <w:rPr>
          <w:rFonts w:cs="Arial"/>
        </w:rPr>
        <w:t>2019 г. – 25 тыс. руб.,</w:t>
      </w:r>
    </w:p>
    <w:p w:rsidR="00F158C0" w:rsidRPr="00F158C0" w:rsidRDefault="00F158C0" w:rsidP="00F158C0">
      <w:pPr>
        <w:ind w:firstLine="851"/>
        <w:rPr>
          <w:rFonts w:cs="Arial"/>
        </w:rPr>
      </w:pPr>
      <w:r w:rsidRPr="00F158C0">
        <w:rPr>
          <w:rFonts w:cs="Arial"/>
        </w:rPr>
        <w:t>2020 г. – 25 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330"/>
              </w:tabs>
              <w:suppressAutoHyphens/>
              <w:ind w:firstLine="851"/>
              <w:rPr>
                <w:sz w:val="24"/>
                <w:szCs w:val="24"/>
              </w:rPr>
            </w:pPr>
            <w:r w:rsidRPr="00F158C0">
              <w:rPr>
                <w:sz w:val="24"/>
                <w:szCs w:val="24"/>
              </w:rPr>
              <w:tab/>
              <w:t>5,0</w:t>
            </w:r>
          </w:p>
        </w:tc>
      </w:tr>
    </w:tbl>
    <w:p w:rsidR="00F158C0" w:rsidRPr="00F158C0" w:rsidRDefault="00F158C0" w:rsidP="00F158C0">
      <w:pPr>
        <w:pStyle w:val="ConsPlusNormal0"/>
        <w:suppressAutoHyphens/>
        <w:ind w:firstLine="851"/>
        <w:jc w:val="right"/>
        <w:outlineLvl w:val="2"/>
        <w:rPr>
          <w:b/>
          <w:sz w:val="24"/>
          <w:szCs w:val="24"/>
        </w:rPr>
      </w:pPr>
      <w:r w:rsidRPr="00F158C0">
        <w:rPr>
          <w:b/>
          <w:sz w:val="24"/>
          <w:szCs w:val="24"/>
        </w:rPr>
        <w:t>тыс.руб.</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bl>
    <w:p w:rsidR="00F158C0" w:rsidRPr="00F158C0" w:rsidRDefault="00F158C0" w:rsidP="00F158C0">
      <w:pPr>
        <w:pStyle w:val="ConsPlusNormal0"/>
        <w:suppressAutoHyphens/>
        <w:ind w:firstLine="851"/>
        <w:jc w:val="right"/>
        <w:outlineLvl w:val="2"/>
        <w:rPr>
          <w:b/>
          <w:sz w:val="24"/>
          <w:szCs w:val="24"/>
        </w:rPr>
      </w:pPr>
      <w:r w:rsidRPr="00F158C0">
        <w:rPr>
          <w:b/>
          <w:sz w:val="24"/>
          <w:szCs w:val="24"/>
        </w:rPr>
        <w:t>тыс.руб.</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тыс.руб.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12,6</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В рамках Подпрограммы предусматривается финансирование мероприятий, направленных на подготовку проекта генерального плана, правил землепользования и застройки сельского поселения.</w:t>
      </w:r>
    </w:p>
    <w:p w:rsidR="00F158C0" w:rsidRPr="00F158C0"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pStyle w:val="af6"/>
        <w:ind w:firstLine="851"/>
        <w:rPr>
          <w:rFonts w:ascii="Arial" w:hAnsi="Arial" w:cs="Arial"/>
          <w:sz w:val="24"/>
          <w:szCs w:val="24"/>
        </w:rPr>
      </w:pPr>
    </w:p>
    <w:p w:rsidR="00F158C0" w:rsidRPr="00F158C0" w:rsidRDefault="00F158C0" w:rsidP="00F158C0">
      <w:pPr>
        <w:ind w:firstLine="851"/>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252A" w:rsidRDefault="0085252A" w:rsidP="00F158C0">
      <w:pPr>
        <w:pStyle w:val="ConsPlusNormal0"/>
        <w:suppressAutoHyphens/>
        <w:jc w:val="right"/>
        <w:outlineLvl w:val="2"/>
        <w:rPr>
          <w:b/>
          <w:sz w:val="24"/>
          <w:szCs w:val="24"/>
        </w:rPr>
      </w:pPr>
    </w:p>
    <w:p w:rsidR="0085252A" w:rsidRDefault="0085252A" w:rsidP="00F158C0">
      <w:pPr>
        <w:pStyle w:val="ConsPlusNormal0"/>
        <w:suppressAutoHyphens/>
        <w:jc w:val="right"/>
        <w:outlineLvl w:val="2"/>
        <w:rPr>
          <w:b/>
          <w:sz w:val="24"/>
          <w:szCs w:val="24"/>
        </w:rPr>
      </w:pPr>
    </w:p>
    <w:p w:rsidR="00F158C0" w:rsidRPr="00F158C0" w:rsidRDefault="00F158C0" w:rsidP="00F158C0">
      <w:pPr>
        <w:pStyle w:val="ConsPlusNormal0"/>
        <w:suppressAutoHyphens/>
        <w:jc w:val="right"/>
        <w:outlineLvl w:val="2"/>
        <w:rPr>
          <w:b/>
          <w:sz w:val="24"/>
          <w:szCs w:val="24"/>
        </w:rPr>
      </w:pPr>
      <w:r w:rsidRPr="00F158C0">
        <w:rPr>
          <w:b/>
          <w:sz w:val="24"/>
          <w:szCs w:val="24"/>
        </w:rPr>
        <w:t>тыс.руб.</w:t>
      </w:r>
    </w:p>
    <w:tbl>
      <w:tblPr>
        <w:tblpPr w:leftFromText="180" w:rightFromText="180" w:horzAnchor="margin" w:tblpXSpec="center" w:tblpY="318"/>
        <w:tblW w:w="10206"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279,4</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116,7</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pStyle w:val="ConsPlusNormal0"/>
              <w:tabs>
                <w:tab w:val="left" w:pos="330"/>
              </w:tabs>
              <w:suppressAutoHyphens/>
              <w:ind w:firstLine="0"/>
              <w:rPr>
                <w:sz w:val="24"/>
                <w:szCs w:val="24"/>
              </w:rPr>
            </w:pPr>
            <w:r w:rsidRPr="00F158C0">
              <w:rPr>
                <w:sz w:val="24"/>
                <w:szCs w:val="24"/>
              </w:rPr>
              <w:t>0</w:t>
            </w:r>
          </w:p>
        </w:tc>
      </w:tr>
    </w:tbl>
    <w:p w:rsidR="00F158C0" w:rsidRPr="00F158C0" w:rsidRDefault="00F158C0" w:rsidP="00F158C0">
      <w:pPr>
        <w:pStyle w:val="af6"/>
        <w:ind w:firstLine="851"/>
        <w:rPr>
          <w:rFonts w:ascii="Arial" w:hAnsi="Arial" w:cs="Arial"/>
          <w:sz w:val="24"/>
          <w:szCs w:val="24"/>
        </w:rPr>
      </w:pPr>
    </w:p>
    <w:p w:rsidR="00F158C0" w:rsidRPr="00F158C0" w:rsidRDefault="00F158C0" w:rsidP="00F158C0">
      <w:pPr>
        <w:pStyle w:val="ConsPlusNormal0"/>
        <w:suppressAutoHyphens/>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И.С</w:t>
      </w:r>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r>
              <w:t>п</w:t>
            </w:r>
            <w:proofErr w:type="spell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3625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Удельный вес дорог с твердым покрытием в общей протяженности дорог местного значения в предельных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Показатель1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B00BF3">
            <w:pPr>
              <w:ind w:firstLine="0"/>
              <w:jc w:val="left"/>
            </w:pPr>
            <w:r>
              <w:t>1</w:t>
            </w:r>
            <w:r w:rsidR="00B00BF3">
              <w:t>910,1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394,3</w:t>
            </w:r>
          </w:p>
        </w:tc>
        <w:tc>
          <w:tcPr>
            <w:tcW w:w="964" w:type="dxa"/>
            <w:tcBorders>
              <w:top w:val="nil"/>
              <w:left w:val="nil"/>
              <w:bottom w:val="single" w:sz="4" w:space="0" w:color="auto"/>
              <w:right w:val="single" w:sz="4" w:space="0" w:color="auto"/>
            </w:tcBorders>
            <w:noWrap/>
            <w:hideMark/>
          </w:tcPr>
          <w:p w:rsidR="00CB7EC5" w:rsidRDefault="00262849">
            <w:pPr>
              <w:ind w:firstLine="0"/>
              <w:jc w:val="left"/>
            </w:pPr>
            <w:r>
              <w:t>426,3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481,2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481,2</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 Прочие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262849">
            <w:pPr>
              <w:ind w:firstLine="0"/>
              <w:jc w:val="left"/>
            </w:pPr>
            <w:r>
              <w:t>971,9</w:t>
            </w:r>
          </w:p>
        </w:tc>
        <w:tc>
          <w:tcPr>
            <w:tcW w:w="964" w:type="dxa"/>
            <w:tcBorders>
              <w:top w:val="nil"/>
              <w:left w:val="nil"/>
              <w:bottom w:val="single" w:sz="4" w:space="0" w:color="auto"/>
              <w:right w:val="single" w:sz="4" w:space="0" w:color="auto"/>
            </w:tcBorders>
            <w:noWrap/>
            <w:hideMark/>
          </w:tcPr>
          <w:p w:rsidR="00CB7EC5" w:rsidRDefault="00262849">
            <w:pPr>
              <w:ind w:firstLine="0"/>
              <w:jc w:val="left"/>
            </w:pPr>
            <w:r>
              <w:t>471,5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954,6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186,0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186,0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262849" w:rsidP="00B00BF3">
            <w:pPr>
              <w:ind w:firstLine="0"/>
              <w:jc w:val="left"/>
              <w:rPr>
                <w:sz w:val="20"/>
                <w:szCs w:val="20"/>
              </w:rPr>
            </w:pPr>
            <w:r>
              <w:rPr>
                <w:sz w:val="20"/>
                <w:szCs w:val="20"/>
              </w:rPr>
              <w:t>3433,9</w:t>
            </w:r>
          </w:p>
        </w:tc>
        <w:tc>
          <w:tcPr>
            <w:tcW w:w="964" w:type="dxa"/>
            <w:tcBorders>
              <w:top w:val="nil"/>
              <w:left w:val="nil"/>
              <w:bottom w:val="single" w:sz="4" w:space="0" w:color="auto"/>
              <w:right w:val="single" w:sz="4" w:space="0" w:color="auto"/>
            </w:tcBorders>
            <w:noWrap/>
            <w:hideMark/>
          </w:tcPr>
          <w:p w:rsidR="00CB7EC5" w:rsidRPr="00B00BF3" w:rsidRDefault="00262849" w:rsidP="00262849">
            <w:pPr>
              <w:ind w:firstLine="0"/>
              <w:jc w:val="left"/>
              <w:rPr>
                <w:sz w:val="20"/>
                <w:szCs w:val="20"/>
              </w:rPr>
            </w:pPr>
            <w:r>
              <w:rPr>
                <w:sz w:val="20"/>
                <w:szCs w:val="20"/>
              </w:rPr>
              <w:t>2540,4</w:t>
            </w:r>
          </w:p>
        </w:tc>
        <w:tc>
          <w:tcPr>
            <w:tcW w:w="1080"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315" w:type="dxa"/>
            <w:gridSpan w:val="3"/>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144" w:type="dxa"/>
            <w:gridSpan w:val="2"/>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20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 xml:space="preserve">К муниципальной программе«Устойчивое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1042"/>
        <w:gridCol w:w="1084"/>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r>
              <w:t>п</w:t>
            </w:r>
            <w:proofErr w:type="spellEnd"/>
            <w:r>
              <w:t>/</w:t>
            </w:r>
          </w:p>
          <w:p w:rsidR="00CB7EC5" w:rsidRDefault="00CB7EC5">
            <w:pPr>
              <w:ind w:firstLine="0"/>
              <w:jc w:val="left"/>
            </w:pPr>
            <w:proofErr w:type="spellStart"/>
            <w:r>
              <w:t>п</w:t>
            </w:r>
            <w:proofErr w:type="spell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(тыс.руб.)</w:t>
            </w:r>
          </w:p>
        </w:tc>
      </w:tr>
      <w:tr w:rsidR="00CB7EC5" w:rsidTr="00384A8F">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1042"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084"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384A8F">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084"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384A8F">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084"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384A8F">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D07243" w:rsidP="00957022">
            <w:pPr>
              <w:ind w:firstLine="0"/>
              <w:jc w:val="left"/>
              <w:rPr>
                <w:sz w:val="20"/>
                <w:szCs w:val="20"/>
              </w:rPr>
            </w:pPr>
            <w:r>
              <w:rPr>
                <w:sz w:val="20"/>
                <w:szCs w:val="20"/>
              </w:rPr>
              <w:t>33206,80</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8B3D64">
            <w:pPr>
              <w:ind w:firstLine="0"/>
              <w:jc w:val="left"/>
              <w:rPr>
                <w:sz w:val="20"/>
                <w:szCs w:val="20"/>
              </w:rPr>
            </w:pPr>
            <w:r>
              <w:rPr>
                <w:sz w:val="20"/>
                <w:szCs w:val="20"/>
              </w:rPr>
              <w:t>7139,1</w:t>
            </w:r>
          </w:p>
        </w:tc>
        <w:tc>
          <w:tcPr>
            <w:tcW w:w="1042" w:type="dxa"/>
            <w:tcBorders>
              <w:top w:val="nil"/>
              <w:left w:val="nil"/>
              <w:bottom w:val="single" w:sz="4" w:space="0" w:color="auto"/>
              <w:right w:val="single" w:sz="4" w:space="0" w:color="auto"/>
            </w:tcBorders>
            <w:shd w:val="clear" w:color="auto" w:fill="FFFFFF"/>
            <w:hideMark/>
          </w:tcPr>
          <w:p w:rsidR="00CB7EC5" w:rsidRPr="00B04701" w:rsidRDefault="00D07243">
            <w:pPr>
              <w:ind w:firstLine="0"/>
              <w:jc w:val="left"/>
              <w:rPr>
                <w:sz w:val="20"/>
                <w:szCs w:val="20"/>
              </w:rPr>
            </w:pPr>
            <w:r>
              <w:rPr>
                <w:sz w:val="20"/>
                <w:szCs w:val="20"/>
              </w:rPr>
              <w:t>3693,5</w:t>
            </w:r>
          </w:p>
        </w:tc>
        <w:tc>
          <w:tcPr>
            <w:tcW w:w="1084"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3580,4</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r>
      <w:tr w:rsidR="00CB7EC5" w:rsidTr="00384A8F">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42"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4"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384A8F">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D07243" w:rsidP="00384A8F">
            <w:pPr>
              <w:ind w:firstLine="0"/>
              <w:jc w:val="left"/>
              <w:rPr>
                <w:b/>
                <w:sz w:val="20"/>
                <w:szCs w:val="20"/>
              </w:rPr>
            </w:pPr>
            <w:r>
              <w:rPr>
                <w:b/>
                <w:sz w:val="20"/>
                <w:szCs w:val="20"/>
              </w:rPr>
              <w:t>14739,2</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384A8F" w:rsidP="008B3D64">
            <w:pPr>
              <w:ind w:firstLine="0"/>
              <w:jc w:val="left"/>
              <w:rPr>
                <w:b/>
                <w:sz w:val="20"/>
                <w:szCs w:val="20"/>
              </w:rPr>
            </w:pPr>
            <w:r w:rsidRPr="00384A8F">
              <w:rPr>
                <w:b/>
                <w:sz w:val="20"/>
                <w:szCs w:val="20"/>
              </w:rPr>
              <w:t>3</w:t>
            </w:r>
            <w:r w:rsidR="008B3D64">
              <w:rPr>
                <w:b/>
                <w:sz w:val="20"/>
                <w:szCs w:val="20"/>
              </w:rPr>
              <w:t>373,8</w:t>
            </w:r>
          </w:p>
        </w:tc>
        <w:tc>
          <w:tcPr>
            <w:tcW w:w="1042" w:type="dxa"/>
            <w:tcBorders>
              <w:top w:val="nil"/>
              <w:left w:val="nil"/>
              <w:bottom w:val="single" w:sz="4" w:space="0" w:color="auto"/>
              <w:right w:val="single" w:sz="4" w:space="0" w:color="auto"/>
            </w:tcBorders>
            <w:shd w:val="clear" w:color="auto" w:fill="FFFFFF"/>
            <w:noWrap/>
            <w:hideMark/>
          </w:tcPr>
          <w:p w:rsidR="00CB7EC5" w:rsidRPr="00384A8F" w:rsidRDefault="00D07243">
            <w:pPr>
              <w:ind w:firstLine="0"/>
              <w:jc w:val="left"/>
              <w:rPr>
                <w:b/>
                <w:sz w:val="20"/>
                <w:szCs w:val="20"/>
              </w:rPr>
            </w:pPr>
            <w:r>
              <w:rPr>
                <w:b/>
                <w:sz w:val="20"/>
                <w:szCs w:val="20"/>
              </w:rPr>
              <w:t>897,8</w:t>
            </w:r>
          </w:p>
        </w:tc>
        <w:tc>
          <w:tcPr>
            <w:tcW w:w="1084"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1348,9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r>
      <w:tr w:rsidR="00CB7EC5" w:rsidTr="00384A8F">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мероприятие1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5585,6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pPr>
              <w:ind w:firstLine="0"/>
              <w:jc w:val="left"/>
              <w:rPr>
                <w:sz w:val="20"/>
                <w:szCs w:val="20"/>
              </w:rPr>
            </w:pPr>
            <w:r>
              <w:rPr>
                <w:sz w:val="20"/>
                <w:szCs w:val="20"/>
              </w:rPr>
              <w:t>1910,1</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384A8F">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5030,9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740683">
            <w:pPr>
              <w:ind w:firstLine="0"/>
              <w:jc w:val="left"/>
              <w:rPr>
                <w:sz w:val="20"/>
                <w:szCs w:val="20"/>
              </w:rPr>
            </w:pPr>
            <w:r>
              <w:rPr>
                <w:sz w:val="20"/>
                <w:szCs w:val="20"/>
              </w:rPr>
              <w:t>1880,1</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384A8F">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397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384A8F">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rsidP="00D17DFB">
            <w:pPr>
              <w:ind w:firstLine="0"/>
              <w:jc w:val="left"/>
              <w:rPr>
                <w:sz w:val="20"/>
                <w:szCs w:val="20"/>
              </w:rPr>
            </w:pPr>
            <w:r w:rsidRPr="00B04701">
              <w:rPr>
                <w:sz w:val="20"/>
                <w:szCs w:val="20"/>
              </w:rPr>
              <w:t>28</w:t>
            </w:r>
            <w:r w:rsidR="00D17DFB">
              <w:rPr>
                <w:sz w:val="20"/>
                <w:szCs w:val="20"/>
              </w:rPr>
              <w:t>96</w:t>
            </w:r>
            <w:r w:rsidRPr="00B04701">
              <w:rPr>
                <w:sz w:val="20"/>
                <w:szCs w:val="20"/>
              </w:rPr>
              <w:t>,4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384A8F">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2864,4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384A8F">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17DFB" w:rsidP="008B3D64">
            <w:pPr>
              <w:ind w:firstLine="0"/>
              <w:jc w:val="left"/>
              <w:rPr>
                <w:sz w:val="20"/>
                <w:szCs w:val="20"/>
              </w:rPr>
            </w:pPr>
            <w:r>
              <w:rPr>
                <w:sz w:val="20"/>
                <w:szCs w:val="20"/>
              </w:rPr>
              <w:t>5029,1</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8B3D64">
            <w:pPr>
              <w:ind w:firstLine="0"/>
              <w:jc w:val="left"/>
              <w:rPr>
                <w:sz w:val="20"/>
                <w:szCs w:val="20"/>
              </w:rPr>
            </w:pPr>
            <w:r>
              <w:rPr>
                <w:sz w:val="20"/>
                <w:szCs w:val="20"/>
              </w:rPr>
              <w:t>9</w:t>
            </w:r>
            <w:r w:rsidR="008B3D64">
              <w:rPr>
                <w:sz w:val="20"/>
                <w:szCs w:val="20"/>
              </w:rPr>
              <w:t>7</w:t>
            </w:r>
            <w:r>
              <w:rPr>
                <w:sz w:val="20"/>
                <w:szCs w:val="20"/>
              </w:rPr>
              <w:t>1,9</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rsidP="00D17DFB">
            <w:pPr>
              <w:ind w:firstLine="0"/>
              <w:jc w:val="left"/>
              <w:rPr>
                <w:sz w:val="20"/>
                <w:szCs w:val="20"/>
              </w:rPr>
            </w:pPr>
            <w:r>
              <w:rPr>
                <w:sz w:val="20"/>
                <w:szCs w:val="20"/>
              </w:rPr>
              <w:t>471,5</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954,6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r>
      <w:tr w:rsidR="00CB7EC5" w:rsidTr="00384A8F">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D17DFB" w:rsidP="0084219A">
            <w:pPr>
              <w:ind w:firstLine="0"/>
              <w:jc w:val="left"/>
              <w:rPr>
                <w:sz w:val="20"/>
                <w:szCs w:val="20"/>
              </w:rPr>
            </w:pPr>
            <w:r>
              <w:rPr>
                <w:sz w:val="20"/>
                <w:szCs w:val="20"/>
              </w:rPr>
              <w:t>3057,9</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8B3D64">
            <w:pPr>
              <w:ind w:firstLine="0"/>
              <w:jc w:val="left"/>
              <w:rPr>
                <w:sz w:val="20"/>
                <w:szCs w:val="20"/>
              </w:rPr>
            </w:pPr>
            <w:r>
              <w:rPr>
                <w:sz w:val="20"/>
                <w:szCs w:val="20"/>
              </w:rPr>
              <w:t>6</w:t>
            </w:r>
            <w:r w:rsidR="008B3D64">
              <w:rPr>
                <w:sz w:val="20"/>
                <w:szCs w:val="20"/>
              </w:rPr>
              <w:t>2</w:t>
            </w:r>
            <w:r>
              <w:rPr>
                <w:sz w:val="20"/>
                <w:szCs w:val="20"/>
              </w:rPr>
              <w:t>9,1</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365,6</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r>
      <w:tr w:rsidR="00CB7EC5" w:rsidTr="00384A8F">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17DFB" w:rsidP="0084219A">
            <w:pPr>
              <w:ind w:firstLine="0"/>
              <w:jc w:val="left"/>
              <w:rPr>
                <w:sz w:val="20"/>
                <w:szCs w:val="20"/>
              </w:rPr>
            </w:pPr>
            <w:r>
              <w:rPr>
                <w:sz w:val="20"/>
                <w:szCs w:val="20"/>
              </w:rPr>
              <w:t>160,5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17,7</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r>
      <w:tr w:rsidR="00CB7EC5" w:rsidTr="00384A8F">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1031</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84219A">
            <w:pPr>
              <w:ind w:firstLine="0"/>
              <w:jc w:val="left"/>
              <w:rPr>
                <w:sz w:val="20"/>
                <w:szCs w:val="20"/>
              </w:rPr>
            </w:pPr>
            <w:r>
              <w:rPr>
                <w:sz w:val="20"/>
                <w:szCs w:val="20"/>
              </w:rPr>
              <w:t>84,</w:t>
            </w:r>
            <w:r w:rsidR="0084219A">
              <w:rPr>
                <w:sz w:val="20"/>
                <w:szCs w:val="20"/>
              </w:rPr>
              <w:t>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86,2</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704,9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r>
      <w:tr w:rsidR="00CB7EC5" w:rsidTr="00384A8F">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84219A">
            <w:pPr>
              <w:ind w:firstLine="0"/>
              <w:jc w:val="left"/>
              <w:rPr>
                <w:sz w:val="20"/>
                <w:szCs w:val="20"/>
              </w:rPr>
            </w:pPr>
            <w:r>
              <w:rPr>
                <w:sz w:val="20"/>
                <w:szCs w:val="20"/>
              </w:rPr>
              <w:t>767,7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4F2764" w:rsidP="00A3294E">
            <w:pPr>
              <w:ind w:firstLine="0"/>
              <w:jc w:val="left"/>
              <w:rPr>
                <w:b/>
                <w:sz w:val="20"/>
                <w:szCs w:val="20"/>
              </w:rPr>
            </w:pPr>
            <w:r>
              <w:rPr>
                <w:b/>
                <w:sz w:val="20"/>
                <w:szCs w:val="20"/>
              </w:rPr>
              <w:t>17307,1</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5F5FE2">
            <w:pPr>
              <w:ind w:firstLine="0"/>
              <w:jc w:val="left"/>
              <w:rPr>
                <w:b/>
                <w:sz w:val="20"/>
                <w:szCs w:val="20"/>
              </w:rPr>
            </w:pPr>
            <w:r>
              <w:rPr>
                <w:b/>
                <w:sz w:val="20"/>
                <w:szCs w:val="20"/>
              </w:rPr>
              <w:t>3483,9</w:t>
            </w:r>
          </w:p>
        </w:tc>
        <w:tc>
          <w:tcPr>
            <w:tcW w:w="1042" w:type="dxa"/>
            <w:tcBorders>
              <w:top w:val="nil"/>
              <w:left w:val="nil"/>
              <w:bottom w:val="single" w:sz="4" w:space="0" w:color="auto"/>
              <w:right w:val="single" w:sz="4" w:space="0" w:color="auto"/>
            </w:tcBorders>
            <w:shd w:val="clear" w:color="auto" w:fill="FFFFFF"/>
            <w:noWrap/>
            <w:hideMark/>
          </w:tcPr>
          <w:p w:rsidR="00CB7EC5" w:rsidRPr="00384A8F" w:rsidRDefault="00CB7EC5" w:rsidP="004F2764">
            <w:pPr>
              <w:ind w:firstLine="0"/>
              <w:jc w:val="left"/>
              <w:rPr>
                <w:b/>
                <w:sz w:val="20"/>
                <w:szCs w:val="20"/>
              </w:rPr>
            </w:pPr>
            <w:r w:rsidRPr="00384A8F">
              <w:rPr>
                <w:b/>
                <w:sz w:val="20"/>
                <w:szCs w:val="20"/>
              </w:rPr>
              <w:t>2</w:t>
            </w:r>
            <w:r w:rsidR="004F2764">
              <w:rPr>
                <w:b/>
                <w:sz w:val="20"/>
                <w:szCs w:val="20"/>
              </w:rPr>
              <w:t>590,4</w:t>
            </w:r>
          </w:p>
        </w:tc>
        <w:tc>
          <w:tcPr>
            <w:tcW w:w="1084"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r>
      <w:tr w:rsidR="00CB7EC5" w:rsidTr="00384A8F">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r>
      <w:tr w:rsidR="00CB7EC5" w:rsidTr="00384A8F">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r>
      <w:tr w:rsidR="00CB7EC5" w:rsidTr="00384A8F">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4F2764">
            <w:pPr>
              <w:ind w:firstLine="0"/>
              <w:jc w:val="left"/>
              <w:rPr>
                <w:sz w:val="20"/>
                <w:szCs w:val="20"/>
              </w:rPr>
            </w:pPr>
            <w:r>
              <w:rPr>
                <w:sz w:val="20"/>
                <w:szCs w:val="20"/>
              </w:rPr>
              <w:t>16786,4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F4361">
            <w:pPr>
              <w:ind w:firstLine="0"/>
              <w:jc w:val="left"/>
              <w:rPr>
                <w:sz w:val="20"/>
                <w:szCs w:val="20"/>
              </w:rPr>
            </w:pPr>
            <w:r>
              <w:rPr>
                <w:sz w:val="20"/>
                <w:szCs w:val="20"/>
              </w:rPr>
              <w:t>3433,9</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4F2764" w:rsidP="004F2764">
            <w:pPr>
              <w:ind w:firstLine="0"/>
              <w:jc w:val="left"/>
              <w:rPr>
                <w:sz w:val="20"/>
                <w:szCs w:val="20"/>
              </w:rPr>
            </w:pPr>
            <w:r>
              <w:rPr>
                <w:sz w:val="20"/>
                <w:szCs w:val="20"/>
              </w:rPr>
              <w:t>2540,4</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r>
      <w:tr w:rsidR="00D37722" w:rsidTr="00384A8F">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r>
      <w:tr w:rsidR="00D37722" w:rsidTr="00384A8F">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384A8F">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384A8F">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07243" w:rsidP="00D07243">
            <w:pPr>
              <w:ind w:firstLine="0"/>
              <w:jc w:val="left"/>
              <w:rPr>
                <w:b/>
                <w:sz w:val="20"/>
                <w:szCs w:val="20"/>
              </w:rPr>
            </w:pPr>
            <w:r>
              <w:rPr>
                <w:b/>
                <w:sz w:val="20"/>
                <w:szCs w:val="20"/>
              </w:rPr>
              <w:t>1100,50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B3D64">
            <w:pPr>
              <w:ind w:firstLine="0"/>
              <w:jc w:val="left"/>
              <w:rPr>
                <w:b/>
                <w:sz w:val="20"/>
                <w:szCs w:val="20"/>
              </w:rPr>
            </w:pPr>
            <w:r>
              <w:rPr>
                <w:b/>
                <w:sz w:val="20"/>
                <w:szCs w:val="20"/>
              </w:rPr>
              <w:t>2</w:t>
            </w:r>
            <w:r w:rsidR="008B3D64">
              <w:rPr>
                <w:b/>
                <w:sz w:val="20"/>
                <w:szCs w:val="20"/>
              </w:rPr>
              <w:t>6</w:t>
            </w:r>
            <w:r>
              <w:rPr>
                <w:b/>
                <w:sz w:val="20"/>
                <w:szCs w:val="20"/>
              </w:rPr>
              <w:t>9,4</w:t>
            </w:r>
          </w:p>
        </w:tc>
        <w:tc>
          <w:tcPr>
            <w:tcW w:w="1042" w:type="dxa"/>
            <w:tcBorders>
              <w:top w:val="nil"/>
              <w:left w:val="nil"/>
              <w:bottom w:val="single" w:sz="4" w:space="0" w:color="auto"/>
              <w:right w:val="single" w:sz="4" w:space="0" w:color="auto"/>
            </w:tcBorders>
            <w:shd w:val="clear" w:color="auto" w:fill="FFFFFF"/>
            <w:noWrap/>
            <w:hideMark/>
          </w:tcPr>
          <w:p w:rsidR="00D37722" w:rsidRPr="00A3294E" w:rsidRDefault="004F2764">
            <w:pPr>
              <w:ind w:firstLine="0"/>
              <w:jc w:val="left"/>
              <w:rPr>
                <w:b/>
                <w:sz w:val="20"/>
                <w:szCs w:val="20"/>
              </w:rPr>
            </w:pPr>
            <w:r>
              <w:rPr>
                <w:b/>
                <w:sz w:val="20"/>
                <w:szCs w:val="20"/>
              </w:rPr>
              <w:t>19</w:t>
            </w:r>
            <w:r w:rsidR="00D07243">
              <w:rPr>
                <w:b/>
                <w:sz w:val="20"/>
                <w:szCs w:val="20"/>
              </w:rPr>
              <w:t>3</w:t>
            </w:r>
            <w:r>
              <w:rPr>
                <w:b/>
                <w:sz w:val="20"/>
                <w:szCs w:val="20"/>
              </w:rPr>
              <w:t>,3</w:t>
            </w:r>
          </w:p>
        </w:tc>
        <w:tc>
          <w:tcPr>
            <w:tcW w:w="1084"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15,1</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r>
      <w:tr w:rsidR="00D37722" w:rsidTr="00384A8F">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88,1 </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r>
      <w:tr w:rsidR="00D37722" w:rsidTr="00384A8F">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88,1</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r>
      <w:tr w:rsidR="00D37722" w:rsidTr="00384A8F">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r>
      <w:tr w:rsidR="00D37722" w:rsidTr="00384A8F">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768,2</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4B1E00" w:rsidP="008B3D64">
            <w:pPr>
              <w:ind w:firstLine="0"/>
              <w:jc w:val="left"/>
              <w:rPr>
                <w:sz w:val="20"/>
                <w:szCs w:val="20"/>
              </w:rPr>
            </w:pPr>
            <w:r>
              <w:rPr>
                <w:sz w:val="20"/>
                <w:szCs w:val="20"/>
              </w:rPr>
              <w:t>2</w:t>
            </w:r>
            <w:r w:rsidR="008B3D64">
              <w:rPr>
                <w:sz w:val="20"/>
                <w:szCs w:val="20"/>
              </w:rPr>
              <w:t>4</w:t>
            </w:r>
            <w:r>
              <w:rPr>
                <w:sz w:val="20"/>
                <w:szCs w:val="20"/>
              </w:rPr>
              <w:t>0,3</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178,2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F2764" w:rsidP="005F5FE2">
            <w:pPr>
              <w:ind w:firstLine="0"/>
              <w:jc w:val="left"/>
              <w:rPr>
                <w:sz w:val="20"/>
                <w:szCs w:val="20"/>
              </w:rPr>
            </w:pPr>
            <w:r>
              <w:rPr>
                <w:sz w:val="20"/>
                <w:szCs w:val="20"/>
              </w:rPr>
              <w:t>512,7</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113,1</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4F2764">
            <w:pPr>
              <w:ind w:firstLine="0"/>
              <w:jc w:val="left"/>
              <w:rPr>
                <w:sz w:val="20"/>
                <w:szCs w:val="20"/>
              </w:rPr>
            </w:pPr>
            <w:r>
              <w:rPr>
                <w:sz w:val="20"/>
                <w:szCs w:val="20"/>
              </w:rPr>
              <w:t>178,2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highlight w:val="red"/>
              </w:rPr>
            </w:pPr>
            <w:r>
              <w:rPr>
                <w:sz w:val="20"/>
                <w:szCs w:val="20"/>
              </w:rPr>
              <w:t>29,8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r>
              <w:t>п</w:t>
            </w:r>
            <w:proofErr w:type="spell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8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42"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42"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5 Подпрограммы 4 «Мероприятия направленные на организацию повышения эффективности деятельности органов местного самоуправления»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384A8F">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384A8F">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384A8F">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программы"Устойчивое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CB7EC5"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r>
              <w:t>п</w:t>
            </w:r>
            <w:proofErr w:type="spellEnd"/>
          </w:p>
          <w:p w:rsidR="00CB7EC5" w:rsidRDefault="00CB7EC5">
            <w:pPr>
              <w:ind w:firstLine="0"/>
              <w:jc w:val="left"/>
            </w:pPr>
            <w:r>
              <w:t>/</w:t>
            </w:r>
            <w:proofErr w:type="spellStart"/>
            <w:r>
              <w:t>п</w:t>
            </w:r>
            <w:proofErr w:type="spell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(тыс.руб.)</w:t>
            </w:r>
          </w:p>
        </w:tc>
      </w:tr>
      <w:tr w:rsidR="00CB7EC5"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CB7EC5"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F74D8C">
            <w:pPr>
              <w:ind w:firstLine="0"/>
              <w:jc w:val="left"/>
            </w:pPr>
            <w:r>
              <w:t>36407,8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6182,60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F74D8C">
            <w:pPr>
              <w:ind w:firstLine="0"/>
              <w:jc w:val="left"/>
            </w:pPr>
            <w:r>
              <w:t>8721,1</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3693,5</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F74D8C" w:rsidP="00F74D8C">
            <w:pPr>
              <w:ind w:firstLine="0"/>
              <w:jc w:val="left"/>
            </w:pPr>
            <w:r>
              <w:t>33206,80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F74D8C" w:rsidP="00F74D8C">
            <w:pPr>
              <w:ind w:firstLine="0"/>
              <w:jc w:val="left"/>
            </w:pPr>
            <w:r>
              <w:t>7139,1</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3693,5</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203823" w:rsidP="00203823">
            <w:pPr>
              <w:ind w:firstLine="0"/>
              <w:jc w:val="left"/>
            </w:pPr>
            <w:r>
              <w:t>1325,3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203823">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rsidP="00B8456F">
            <w:pPr>
              <w:ind w:firstLine="0"/>
              <w:jc w:val="left"/>
            </w:pPr>
            <w:r>
              <w:t>15</w:t>
            </w:r>
            <w:r w:rsidR="00B8456F">
              <w:t>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7E083B" w:rsidP="00F74D8C">
            <w:pPr>
              <w:ind w:firstLine="0"/>
              <w:jc w:val="left"/>
            </w:pPr>
            <w:r>
              <w:t>16</w:t>
            </w:r>
            <w:r w:rsidR="00F74D8C">
              <w:t>614,9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F74D8C" w:rsidP="00847A9A">
            <w:pPr>
              <w:ind w:firstLine="0"/>
              <w:jc w:val="left"/>
            </w:pPr>
            <w:r>
              <w:t>4949,2</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897,8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F74D8C">
            <w:pPr>
              <w:ind w:firstLine="0"/>
              <w:jc w:val="left"/>
            </w:pPr>
            <w:r>
              <w:t>14739,2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F74D8C" w:rsidP="00847A9A">
            <w:pPr>
              <w:ind w:firstLine="0"/>
              <w:jc w:val="left"/>
            </w:pPr>
            <w:r>
              <w:t>3373,8</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897,8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1575,4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74D8C" w:rsidP="007E083B">
            <w:pPr>
              <w:ind w:firstLine="0"/>
              <w:jc w:val="left"/>
            </w:pPr>
            <w:r>
              <w:t>17432,1</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F74D8C" w:rsidP="00203823">
            <w:pPr>
              <w:ind w:firstLine="0"/>
              <w:jc w:val="left"/>
            </w:pPr>
            <w:r>
              <w:t>3483,9</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2590,4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F74D8C" w:rsidP="007E083B">
            <w:pPr>
              <w:ind w:firstLine="0"/>
              <w:jc w:val="left"/>
            </w:pPr>
            <w:r>
              <w:t>17307,1</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F74D8C" w:rsidP="00847A9A">
            <w:pPr>
              <w:ind w:firstLine="0"/>
              <w:jc w:val="left"/>
            </w:pPr>
            <w:r>
              <w:t>3483,9</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2590,4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F74D8C">
            <w:pPr>
              <w:ind w:firstLine="0"/>
              <w:jc w:val="left"/>
            </w:pPr>
            <w:r>
              <w:t>2300,8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F74D8C">
            <w:pPr>
              <w:ind w:firstLine="0"/>
              <w:jc w:val="left"/>
            </w:pPr>
            <w:r>
              <w:t>276</w:t>
            </w:r>
          </w:p>
        </w:tc>
        <w:tc>
          <w:tcPr>
            <w:tcW w:w="1249" w:type="dxa"/>
            <w:tcBorders>
              <w:top w:val="nil"/>
              <w:left w:val="nil"/>
              <w:bottom w:val="single" w:sz="4" w:space="0" w:color="auto"/>
              <w:right w:val="single" w:sz="4" w:space="0" w:color="auto"/>
            </w:tcBorders>
            <w:noWrap/>
            <w:hideMark/>
          </w:tcPr>
          <w:p w:rsidR="00CB7EC5" w:rsidRDefault="00F74D8C" w:rsidP="00F74D8C">
            <w:pPr>
              <w:ind w:firstLine="0"/>
              <w:jc w:val="left"/>
            </w:pPr>
            <w:r>
              <w:t>193,3</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F74D8C" w:rsidP="007E083B">
            <w:pPr>
              <w:ind w:firstLine="0"/>
              <w:jc w:val="left"/>
            </w:pPr>
            <w:r>
              <w:t>1100,50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F74D8C">
            <w:pPr>
              <w:ind w:firstLine="0"/>
              <w:jc w:val="left"/>
            </w:pPr>
            <w:r>
              <w:t>269,4</w:t>
            </w:r>
          </w:p>
        </w:tc>
        <w:tc>
          <w:tcPr>
            <w:tcW w:w="1249" w:type="dxa"/>
            <w:tcBorders>
              <w:top w:val="nil"/>
              <w:left w:val="nil"/>
              <w:bottom w:val="single" w:sz="4" w:space="0" w:color="auto"/>
              <w:right w:val="single" w:sz="4" w:space="0" w:color="auto"/>
            </w:tcBorders>
            <w:noWrap/>
            <w:hideMark/>
          </w:tcPr>
          <w:p w:rsidR="00CB7EC5" w:rsidRDefault="00F74D8C">
            <w:pPr>
              <w:ind w:firstLine="0"/>
              <w:jc w:val="left"/>
            </w:pPr>
            <w:r>
              <w:t>193,3</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1200,3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savePreviewPicture/>
  <w:compat/>
  <w:rsids>
    <w:rsidRoot w:val="00CB7EC5"/>
    <w:rsid w:val="00007384"/>
    <w:rsid w:val="000F586B"/>
    <w:rsid w:val="0013433B"/>
    <w:rsid w:val="001C4D4C"/>
    <w:rsid w:val="00203823"/>
    <w:rsid w:val="00231AA2"/>
    <w:rsid w:val="00262849"/>
    <w:rsid w:val="00384A8F"/>
    <w:rsid w:val="00387B3A"/>
    <w:rsid w:val="003957A0"/>
    <w:rsid w:val="003A3EDE"/>
    <w:rsid w:val="003E3DE0"/>
    <w:rsid w:val="003F10B4"/>
    <w:rsid w:val="004B1E00"/>
    <w:rsid w:val="004C37BF"/>
    <w:rsid w:val="004F2764"/>
    <w:rsid w:val="00503DFB"/>
    <w:rsid w:val="00532F68"/>
    <w:rsid w:val="00560026"/>
    <w:rsid w:val="00564251"/>
    <w:rsid w:val="00575D0D"/>
    <w:rsid w:val="005A1E76"/>
    <w:rsid w:val="005D7405"/>
    <w:rsid w:val="005E568F"/>
    <w:rsid w:val="005F5FE2"/>
    <w:rsid w:val="00603D2B"/>
    <w:rsid w:val="00606CED"/>
    <w:rsid w:val="00651A10"/>
    <w:rsid w:val="0067704D"/>
    <w:rsid w:val="00685C13"/>
    <w:rsid w:val="006D56D0"/>
    <w:rsid w:val="00702427"/>
    <w:rsid w:val="007151AA"/>
    <w:rsid w:val="00740683"/>
    <w:rsid w:val="007C1557"/>
    <w:rsid w:val="007E083B"/>
    <w:rsid w:val="008377B9"/>
    <w:rsid w:val="0084219A"/>
    <w:rsid w:val="00847A9A"/>
    <w:rsid w:val="0085252A"/>
    <w:rsid w:val="008A11B8"/>
    <w:rsid w:val="008B3D64"/>
    <w:rsid w:val="008C42ED"/>
    <w:rsid w:val="00902A59"/>
    <w:rsid w:val="0090316A"/>
    <w:rsid w:val="00947506"/>
    <w:rsid w:val="00957022"/>
    <w:rsid w:val="009950D4"/>
    <w:rsid w:val="00A3294E"/>
    <w:rsid w:val="00A522A8"/>
    <w:rsid w:val="00AB099B"/>
    <w:rsid w:val="00AD7954"/>
    <w:rsid w:val="00AE3CE4"/>
    <w:rsid w:val="00AF4B0F"/>
    <w:rsid w:val="00B00BF3"/>
    <w:rsid w:val="00B0401D"/>
    <w:rsid w:val="00B04701"/>
    <w:rsid w:val="00B515A2"/>
    <w:rsid w:val="00B525A2"/>
    <w:rsid w:val="00B729C9"/>
    <w:rsid w:val="00B8456F"/>
    <w:rsid w:val="00BE632D"/>
    <w:rsid w:val="00BF6BC5"/>
    <w:rsid w:val="00CB1553"/>
    <w:rsid w:val="00CB7EC5"/>
    <w:rsid w:val="00CC111C"/>
    <w:rsid w:val="00D02EF4"/>
    <w:rsid w:val="00D07243"/>
    <w:rsid w:val="00D17DFB"/>
    <w:rsid w:val="00D23029"/>
    <w:rsid w:val="00D26E30"/>
    <w:rsid w:val="00D37722"/>
    <w:rsid w:val="00D63F02"/>
    <w:rsid w:val="00D745C9"/>
    <w:rsid w:val="00D965A1"/>
    <w:rsid w:val="00E16071"/>
    <w:rsid w:val="00E27087"/>
    <w:rsid w:val="00E77764"/>
    <w:rsid w:val="00ED43D1"/>
    <w:rsid w:val="00EE73C6"/>
    <w:rsid w:val="00F158C0"/>
    <w:rsid w:val="00F376BE"/>
    <w:rsid w:val="00F56475"/>
    <w:rsid w:val="00F74D8C"/>
    <w:rsid w:val="00F75579"/>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99"/>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2016-09-15T12:24:00Z</cp:lastPrinted>
  <dcterms:created xsi:type="dcterms:W3CDTF">2016-09-15T12:25:00Z</dcterms:created>
  <dcterms:modified xsi:type="dcterms:W3CDTF">2016-09-15T12:25:00Z</dcterms:modified>
</cp:coreProperties>
</file>